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0"/>
        <w:jc w:val="center"/>
        <w:rPr>
          <w:rFonts w:ascii="Arial" w:hAnsi="Arial" w:cs="Arial"/>
          <w:b/>
          <w:b/>
          <w:bCs/>
          <w:color w:val="000000"/>
          <w:sz w:val="20"/>
          <w:szCs w:val="20"/>
        </w:rPr>
      </w:pPr>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r>
        <w:rPr>
          <w:rFonts w:cs="Arial" w:ascii="Arial" w:hAnsi="Arial"/>
          <w:color w:val="000000"/>
          <w:sz w:val="20"/>
          <w:szCs w:val="20"/>
        </w:rPr>
        <w:br/>
      </w:r>
      <w:r>
        <w:rPr>
          <w:rFonts w:cs="Arial" w:ascii="Arial" w:hAnsi="Arial"/>
          <w:b/>
          <w:bCs/>
          <w:color w:val="000000"/>
          <w:sz w:val="20"/>
          <w:szCs w:val="20"/>
          <w:shd w:fill="auto" w:val="clear"/>
        </w:rPr>
        <w:t xml:space="preserve">MODELO DE </w:t>
      </w:r>
      <w:r>
        <w:rPr>
          <w:rFonts w:cs="Arial" w:ascii="Arial" w:hAnsi="Arial"/>
          <w:b/>
          <w:bCs/>
          <w:color w:val="000000"/>
          <w:sz w:val="20"/>
          <w:szCs w:val="20"/>
          <w:shd w:fill="auto" w:val="clear"/>
        </w:rPr>
        <w:t>TERMO</w:t>
      </w:r>
      <w:r>
        <w:rPr>
          <w:rFonts w:cs="Arial" w:ascii="Arial" w:hAnsi="Arial"/>
          <w:b/>
          <w:bCs/>
          <w:color w:val="000000"/>
          <w:sz w:val="20"/>
          <w:szCs w:val="20"/>
        </w:rPr>
        <w:t xml:space="preserve"> DE REFERÊNCIA – LEI 14.133/21</w:t>
      </w:r>
    </w:p>
    <w:p>
      <w:pPr>
        <w:pStyle w:val="Normal"/>
        <w:spacing w:lineRule="auto" w:line="276" w:before="0" w:after="0"/>
        <w:jc w:val="center"/>
        <w:rPr>
          <w:rFonts w:ascii="Arial" w:hAnsi="Arial" w:cs="Arial"/>
          <w:b/>
          <w:b/>
          <w:bCs/>
          <w:iCs/>
          <w:color w:val="000000"/>
          <w:sz w:val="20"/>
          <w:szCs w:val="20"/>
        </w:rPr>
      </w:pPr>
      <w:r>
        <w:rPr>
          <w:rFonts w:cs="Arial" w:ascii="Arial" w:hAnsi="Arial"/>
          <w:b/>
          <w:bCs/>
          <w:iCs/>
          <w:color w:val="000000"/>
          <w:sz w:val="20"/>
          <w:szCs w:val="20"/>
        </w:rPr>
        <w:t>COMPRAS – CONTRATAÇÃO DIRETA</w:t>
      </w:r>
    </w:p>
    <w:p>
      <w:pPr>
        <w:pStyle w:val="Normal"/>
        <w:spacing w:lineRule="auto" w:line="276" w:before="0" w:after="0"/>
        <w:jc w:val="center"/>
        <w:rPr>
          <w:rFonts w:ascii="Arial" w:hAnsi="Arial" w:cs="Arial"/>
          <w:b/>
          <w:b/>
          <w:bCs/>
          <w:i/>
          <w:i/>
          <w:color w:val="FF0000"/>
          <w:sz w:val="20"/>
          <w:szCs w:val="20"/>
        </w:rPr>
      </w:pPr>
      <w:r>
        <w:rPr>
          <w:rFonts w:cs="Arial" w:ascii="Arial" w:hAnsi="Arial"/>
          <w:b/>
          <w:bCs/>
          <w:iCs/>
          <w:color w:val="000000"/>
          <w:sz w:val="20"/>
          <w:szCs w:val="20"/>
        </w:rPr>
        <w:t>Processo Administrativo nº</w:t>
      </w:r>
      <w:r>
        <w:rPr>
          <w:rFonts w:cs="Arial" w:ascii="Arial" w:hAnsi="Arial"/>
          <w:b/>
          <w:bCs/>
          <w:iCs/>
          <w:color w:val="000000"/>
          <w:sz w:val="20"/>
          <w:szCs w:val="20"/>
          <w:shd w:fill="auto" w:val="clear"/>
        </w:rPr>
        <w:t xml:space="preserve"> </w:t>
      </w:r>
      <w:r>
        <w:rPr>
          <w:rFonts w:cs="Arial" w:ascii="Arial" w:hAnsi="Arial"/>
          <w:b/>
          <w:bCs/>
          <w:iCs/>
          <w:color w:val="000000"/>
          <w:sz w:val="20"/>
          <w:szCs w:val="20"/>
          <w:shd w:fill="auto" w:val="clear"/>
        </w:rPr>
        <w:t>64301.</w:t>
      </w:r>
      <w:r>
        <w:rPr>
          <w:rFonts w:cs="Arial" w:ascii="Arial" w:hAnsi="Arial"/>
          <w:b/>
          <w:bCs/>
          <w:iCs/>
          <w:color w:val="000000"/>
          <w:sz w:val="20"/>
          <w:szCs w:val="20"/>
          <w:shd w:fill="auto" w:val="clear"/>
        </w:rPr>
        <w:t>009567</w:t>
      </w:r>
      <w:r>
        <w:rPr>
          <w:rFonts w:cs="Arial" w:ascii="Arial" w:hAnsi="Arial"/>
          <w:b/>
          <w:bCs/>
          <w:iCs/>
          <w:color w:val="000000"/>
          <w:sz w:val="20"/>
          <w:szCs w:val="20"/>
          <w:shd w:fill="auto" w:val="clear"/>
        </w:rPr>
        <w:t>/202</w:t>
      </w:r>
      <w:r>
        <w:rPr>
          <w:rFonts w:cs="Arial" w:ascii="Arial" w:hAnsi="Arial"/>
          <w:b/>
          <w:bCs/>
          <w:iCs/>
          <w:color w:val="000000"/>
          <w:sz w:val="20"/>
          <w:szCs w:val="20"/>
          <w:shd w:fill="auto" w:val="clear"/>
        </w:rPr>
        <w:t>3</w:t>
      </w:r>
      <w:r>
        <w:rPr>
          <w:rFonts w:cs="Arial" w:ascii="Arial" w:hAnsi="Arial"/>
          <w:b/>
          <w:bCs/>
          <w:iCs/>
          <w:color w:val="000000"/>
          <w:sz w:val="20"/>
          <w:szCs w:val="20"/>
          <w:shd w:fill="auto" w:val="clear"/>
        </w:rPr>
        <w:t>-</w:t>
      </w:r>
      <w:r>
        <w:rPr>
          <w:rFonts w:cs="Arial" w:ascii="Arial" w:hAnsi="Arial"/>
          <w:b/>
          <w:bCs/>
          <w:iCs/>
          <w:color w:val="000000"/>
          <w:sz w:val="20"/>
          <w:szCs w:val="20"/>
          <w:shd w:fill="auto" w:val="clear"/>
        </w:rPr>
        <w:t>34</w:t>
      </w:r>
    </w:p>
    <w:p>
      <w:pPr>
        <w:pStyle w:val="Normal"/>
        <w:spacing w:lineRule="auto" w:line="276" w:before="0" w:after="0"/>
        <w:jc w:val="center"/>
        <w:rPr>
          <w:rFonts w:ascii="Arial" w:hAnsi="Arial" w:cs="Arial"/>
          <w:b/>
          <w:b/>
          <w:bCs/>
          <w:i/>
          <w:i/>
          <w:color w:val="FF0000"/>
          <w:sz w:val="20"/>
          <w:szCs w:val="20"/>
        </w:rPr>
      </w:pPr>
      <w:r>
        <w:rPr>
          <w:rFonts w:cs="Arial" w:ascii="Arial" w:hAnsi="Arial"/>
          <w:b/>
          <w:bCs/>
          <w:i/>
          <w:color w:val="FF0000"/>
          <w:sz w:val="20"/>
          <w:szCs w:val="20"/>
        </w:rPr>
      </w:r>
    </w:p>
    <w:p>
      <w:pPr>
        <w:pStyle w:val="Normal"/>
        <w:rPr/>
      </w:pPr>
      <w:r>
        <w:rPr/>
      </w:r>
    </w:p>
    <w:p>
      <w:pPr>
        <w:pStyle w:val="Nivel1"/>
        <w:numPr>
          <w:ilvl w:val="0"/>
          <w:numId w:val="1"/>
        </w:numPr>
        <w:spacing w:before="0" w:after="0"/>
        <w:rPr>
          <w:sz w:val="20"/>
          <w:szCs w:val="20"/>
        </w:rPr>
      </w:pPr>
      <w:r>
        <w:rPr>
          <w:bCs/>
          <w:sz w:val="20"/>
          <w:szCs w:val="20"/>
        </w:rPr>
        <w:t>DAS CONDIÇÕES GERAIS DA CONTRATAÇÃO (art. 6º, XXIII, “a” e “i”</w:t>
      </w:r>
      <w:r>
        <w:rPr>
          <w:sz w:val="20"/>
          <w:szCs w:val="20"/>
        </w:rPr>
        <w:t xml:space="preserve"> da Lei nº 14.133/2021).</w:t>
      </w:r>
    </w:p>
    <w:p>
      <w:pPr>
        <w:pStyle w:val="ListParagraph"/>
        <w:spacing w:lineRule="auto" w:line="276" w:before="0" w:after="0"/>
        <w:ind w:left="716" w:hanging="0"/>
        <w:contextualSpacing/>
        <w:jc w:val="both"/>
        <w:rPr>
          <w:rFonts w:ascii="Arial" w:hAnsi="Arial" w:cs="Arial"/>
          <w:b/>
          <w:b/>
          <w:iCs/>
          <w:sz w:val="20"/>
          <w:szCs w:val="20"/>
        </w:rPr>
      </w:pPr>
      <w:r>
        <w:rPr>
          <w:rFonts w:cs="Arial" w:ascii="Arial" w:hAnsi="Arial"/>
          <w:b/>
          <w:iCs/>
          <w:sz w:val="20"/>
          <w:szCs w:val="20"/>
        </w:rPr>
      </w:r>
    </w:p>
    <w:p>
      <w:pPr>
        <w:pStyle w:val="ListParagraph"/>
        <w:numPr>
          <w:ilvl w:val="1"/>
          <w:numId w:val="39"/>
        </w:numPr>
        <w:spacing w:lineRule="auto" w:line="276" w:before="0" w:after="0"/>
        <w:contextualSpacing/>
        <w:jc w:val="both"/>
        <w:rPr>
          <w:rFonts w:ascii="Arial" w:hAnsi="Arial" w:cs="Arial"/>
          <w:b/>
          <w:b/>
          <w:iCs/>
          <w:sz w:val="20"/>
          <w:szCs w:val="20"/>
        </w:rPr>
      </w:pPr>
      <w:r>
        <w:rPr>
          <w:rFonts w:cs="Arial" w:ascii="Arial" w:hAnsi="Arial"/>
          <w:iCs/>
          <w:sz w:val="20"/>
          <w:szCs w:val="20"/>
        </w:rPr>
        <w:t>A</w:t>
      </w:r>
      <w:r>
        <w:rPr>
          <w:rFonts w:cs="Arial" w:ascii="Arial" w:hAnsi="Arial"/>
          <w:iCs/>
          <w:color w:val="FF0000"/>
          <w:sz w:val="20"/>
          <w:szCs w:val="20"/>
        </w:rPr>
        <w:t xml:space="preserve"> </w:t>
      </w:r>
      <w:r>
        <w:rPr>
          <w:rFonts w:eastAsia="Times New Roman" w:cs="Times New Roman" w:ascii="Times New Roman" w:hAnsi="Times New Roman"/>
          <w:iCs/>
          <w:color w:val="000000"/>
          <w:kern w:val="2"/>
          <w:sz w:val="24"/>
          <w:szCs w:val="24"/>
          <w:shd w:fill="auto" w:val="clear"/>
          <w:lang w:val="pt-BR" w:eastAsia="zh-CN" w:bidi="ar-SA"/>
        </w:rPr>
        <w:t>contrata</w:t>
      </w:r>
      <w:r>
        <w:rPr>
          <w:rFonts w:cs="Times New Roman" w:ascii="Times New Roman" w:hAnsi="Times New Roman"/>
          <w:iCs/>
          <w:color w:val="000000"/>
          <w:sz w:val="24"/>
          <w:szCs w:val="24"/>
          <w:shd w:fill="auto" w:val="clear"/>
        </w:rPr>
        <w:t>ção do serviço de revisão preventiva nos NoBreaks</w:t>
      </w:r>
      <w:r>
        <w:rPr>
          <w:rFonts w:cs="Arial" w:ascii="Arial" w:hAnsi="Arial"/>
          <w:b/>
          <w:iCs/>
          <w:sz w:val="20"/>
          <w:szCs w:val="20"/>
        </w:rPr>
        <w:t>,</w:t>
      </w:r>
      <w:r>
        <w:rPr>
          <w:rFonts w:cs="Arial" w:ascii="Arial" w:hAnsi="Arial"/>
          <w:iCs/>
          <w:sz w:val="20"/>
          <w:szCs w:val="20"/>
        </w:rPr>
        <w:t xml:space="preserve"> nos termos da tabela abaixo, conforme condições e exigências estabelecidas neste instrumento.</w:t>
      </w:r>
    </w:p>
    <w:p>
      <w:pPr>
        <w:pStyle w:val="ListParagraph"/>
        <w:spacing w:lineRule="auto" w:line="276" w:before="0" w:after="0"/>
        <w:contextualSpacing/>
        <w:jc w:val="both"/>
        <w:rPr>
          <w:rFonts w:ascii="Arial" w:hAnsi="Arial" w:cs="Arial"/>
          <w:b/>
          <w:b/>
          <w:iCs/>
          <w:sz w:val="20"/>
          <w:szCs w:val="20"/>
        </w:rPr>
      </w:pPr>
      <w:r>
        <w:rPr/>
      </w:r>
    </w:p>
    <w:p>
      <w:pPr>
        <w:pStyle w:val="ListParagraph"/>
        <w:spacing w:lineRule="auto" w:line="276" w:before="0" w:after="0"/>
        <w:contextualSpacing/>
        <w:jc w:val="both"/>
        <w:rPr>
          <w:rFonts w:ascii="Arial" w:hAnsi="Arial" w:cs="Arial"/>
          <w:b/>
          <w:b/>
          <w:iCs/>
          <w:sz w:val="20"/>
          <w:szCs w:val="20"/>
        </w:rPr>
      </w:pPr>
      <w:r>
        <w:rPr/>
      </w:r>
    </w:p>
    <w:tbl>
      <w:tblPr>
        <w:tblW w:w="9493" w:type="dxa"/>
        <w:jc w:val="left"/>
        <w:tblInd w:w="-147" w:type="dxa"/>
        <w:tblLayout w:type="fixed"/>
        <w:tblCellMar>
          <w:top w:w="0" w:type="dxa"/>
          <w:left w:w="108" w:type="dxa"/>
          <w:bottom w:w="0" w:type="dxa"/>
          <w:right w:w="108" w:type="dxa"/>
        </w:tblCellMar>
        <w:tblLook w:firstRow="1" w:noVBand="1" w:lastRow="0" w:firstColumn="1" w:lastColumn="0" w:noHBand="0" w:val="04a0"/>
      </w:tblPr>
      <w:tblGrid>
        <w:gridCol w:w="704"/>
        <w:gridCol w:w="2556"/>
        <w:gridCol w:w="1277"/>
        <w:gridCol w:w="1134"/>
        <w:gridCol w:w="1079"/>
        <w:gridCol w:w="1414"/>
        <w:gridCol w:w="1329"/>
      </w:tblGrid>
      <w:tr>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b/>
                <w:b/>
                <w:bCs/>
                <w:color w:val="000000"/>
                <w:sz w:val="20"/>
                <w:szCs w:val="20"/>
              </w:rPr>
            </w:pPr>
            <w:r>
              <w:rPr>
                <w:rFonts w:cs="Arial" w:ascii="Arial" w:hAnsi="Arial"/>
                <w:b/>
                <w:bCs/>
                <w:color w:val="000000"/>
                <w:sz w:val="20"/>
                <w:szCs w:val="20"/>
              </w:rPr>
              <w:t>ITEM</w:t>
            </w:r>
          </w:p>
          <w:p>
            <w:pPr>
              <w:pStyle w:val="Normal"/>
              <w:widowControl w:val="false"/>
              <w:suppressAutoHyphens w:val="true"/>
              <w:spacing w:lineRule="auto" w:line="276" w:before="0" w:after="0"/>
              <w:jc w:val="center"/>
              <w:rPr>
                <w:rFonts w:ascii="Arial" w:hAnsi="Arial" w:cs="Arial"/>
                <w:b/>
                <w:b/>
                <w:color w:val="000000"/>
                <w:sz w:val="20"/>
                <w:szCs w:val="20"/>
              </w:rPr>
            </w:pPr>
            <w:r>
              <w:rPr>
                <w:rFonts w:cs="Arial" w:ascii="Arial" w:hAnsi="Arial"/>
                <w:b/>
                <w:color w:val="000000"/>
                <w:sz w:val="20"/>
                <w:szCs w:val="20"/>
              </w:rPr>
            </w:r>
          </w:p>
        </w:tc>
        <w:tc>
          <w:tcPr>
            <w:tcW w:w="255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color w:val="000000"/>
                <w:sz w:val="20"/>
                <w:szCs w:val="20"/>
              </w:rPr>
            </w:pPr>
            <w:r>
              <w:rPr>
                <w:rFonts w:cs="Arial" w:ascii="Arial" w:hAnsi="Arial"/>
                <w:b/>
                <w:bCs/>
                <w:color w:val="000000"/>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color w:val="000000"/>
                <w:sz w:val="20"/>
                <w:szCs w:val="20"/>
              </w:rPr>
            </w:pPr>
            <w:r>
              <w:rPr>
                <w:rFonts w:cs="Arial" w:ascii="Arial" w:hAnsi="Arial"/>
                <w:b/>
                <w:bCs/>
                <w:color w:val="000000"/>
                <w:sz w:val="20"/>
                <w:szCs w:val="20"/>
              </w:rPr>
              <w:t>CATMAT</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color w:val="000000"/>
                <w:sz w:val="20"/>
                <w:szCs w:val="20"/>
              </w:rPr>
            </w:pPr>
            <w:r>
              <w:rPr>
                <w:rFonts w:cs="Arial" w:ascii="Arial" w:hAnsi="Arial"/>
                <w:b/>
                <w:bCs/>
                <w:color w:val="000000"/>
                <w:sz w:val="20"/>
                <w:szCs w:val="20"/>
              </w:rPr>
              <w:t>UNIDADE DE MEDIDA</w:t>
            </w:r>
          </w:p>
        </w:tc>
        <w:tc>
          <w:tcPr>
            <w:tcW w:w="107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b/>
                <w:b/>
                <w:bCs/>
                <w:sz w:val="20"/>
                <w:szCs w:val="20"/>
              </w:rPr>
            </w:pPr>
            <w:r>
              <w:rPr>
                <w:rFonts w:cs="Arial" w:ascii="Arial" w:hAnsi="Arial"/>
                <w:b/>
                <w:bCs/>
                <w:sz w:val="20"/>
                <w:szCs w:val="20"/>
              </w:rPr>
              <w:t>QUANTIDADE</w:t>
            </w:r>
          </w:p>
        </w:tc>
        <w:tc>
          <w:tcPr>
            <w:tcW w:w="141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b/>
                <w:b/>
                <w:bCs/>
                <w:sz w:val="20"/>
                <w:szCs w:val="20"/>
              </w:rPr>
            </w:pPr>
            <w:r>
              <w:rPr>
                <w:rFonts w:cs="Arial" w:ascii="Arial" w:hAnsi="Arial"/>
                <w:b/>
                <w:bCs/>
                <w:sz w:val="20"/>
                <w:szCs w:val="20"/>
              </w:rPr>
              <w:t>VALOR UNITÁRIO</w:t>
            </w:r>
          </w:p>
        </w:tc>
        <w:tc>
          <w:tcPr>
            <w:tcW w:w="132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b/>
                <w:b/>
                <w:bCs/>
                <w:sz w:val="20"/>
                <w:szCs w:val="20"/>
              </w:rPr>
            </w:pPr>
            <w:r>
              <w:rPr>
                <w:rFonts w:cs="Arial" w:ascii="Arial" w:hAnsi="Arial"/>
                <w:b/>
                <w:bCs/>
                <w:sz w:val="20"/>
                <w:szCs w:val="20"/>
              </w:rPr>
              <w:t>VALOR TOTAL</w:t>
            </w:r>
          </w:p>
        </w:tc>
      </w:tr>
      <w:tr>
        <w:trPr/>
        <w:tc>
          <w:tcPr>
            <w:tcW w:w="7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0"/>
              <w:jc w:val="center"/>
              <w:rPr>
                <w:rFonts w:ascii="Arial" w:hAnsi="Arial" w:cs="Arial"/>
                <w:b/>
                <w:b/>
                <w:color w:val="000000"/>
                <w:sz w:val="20"/>
                <w:szCs w:val="20"/>
              </w:rPr>
            </w:pPr>
            <w:r>
              <w:rPr>
                <w:rFonts w:cs="Arial" w:ascii="Arial" w:hAnsi="Arial"/>
                <w:b/>
                <w:color w:val="000000"/>
                <w:sz w:val="20"/>
                <w:szCs w:val="20"/>
              </w:rPr>
              <w:t>1</w:t>
            </w:r>
          </w:p>
        </w:tc>
        <w:tc>
          <w:tcPr>
            <w:tcW w:w="25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134" w:leader="none"/>
              </w:tabs>
              <w:suppressAutoHyphens w:val="false"/>
              <w:snapToGrid w:val="false"/>
              <w:spacing w:lineRule="auto" w:line="276" w:before="0" w:after="0"/>
              <w:jc w:val="center"/>
              <w:rPr>
                <w:rFonts w:ascii="Times New Roman" w:hAnsi="Times New Roman" w:cs="Times New Roman"/>
                <w:b w:val="false"/>
                <w:b w:val="false"/>
                <w:i w:val="false"/>
                <w:i w:val="false"/>
                <w:caps w:val="false"/>
                <w:smallCaps w:val="false"/>
                <w:color w:val="000000"/>
                <w:spacing w:val="0"/>
                <w:sz w:val="24"/>
                <w:szCs w:val="24"/>
                <w:shd w:fill="auto" w:val="clear"/>
              </w:rPr>
            </w:pPr>
            <w:r>
              <w:rPr>
                <w:rFonts w:cs="Times New Roman" w:ascii="Times New Roman" w:hAnsi="Times New Roman"/>
                <w:b w:val="false"/>
                <w:i w:val="false"/>
                <w:caps w:val="false"/>
                <w:smallCaps w:val="false"/>
                <w:color w:val="000000"/>
                <w:spacing w:val="0"/>
                <w:sz w:val="24"/>
                <w:szCs w:val="24"/>
                <w:shd w:fill="auto" w:val="clear"/>
              </w:rPr>
              <w:t>Serviço de revisão preventiva/corretiva, em No-Breaks</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0"/>
              <w:jc w:val="center"/>
              <w:rPr>
                <w:rFonts w:ascii="Arial" w:hAnsi="Arial" w:cs="Arial"/>
                <w:color w:val="000000"/>
                <w:sz w:val="20"/>
                <w:szCs w:val="20"/>
              </w:rPr>
            </w:pPr>
            <w:r>
              <w:rPr>
                <w:rFonts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0"/>
              <w:jc w:val="center"/>
              <w:rPr>
                <w:rFonts w:ascii="Arial" w:hAnsi="Arial" w:eastAsia="Calibri" w:cs="Arial"/>
                <w:color w:val="000000"/>
                <w:kern w:val="0"/>
                <w:sz w:val="20"/>
                <w:szCs w:val="20"/>
                <w:lang w:val="pt-BR" w:eastAsia="en-US" w:bidi="ar-SA"/>
              </w:rPr>
            </w:pPr>
            <w:r>
              <w:rPr>
                <w:rFonts w:eastAsia="Calibri" w:cs="Arial" w:ascii="Arial" w:hAnsi="Arial"/>
                <w:color w:val="000000"/>
                <w:kern w:val="0"/>
                <w:sz w:val="20"/>
                <w:szCs w:val="20"/>
                <w:lang w:val="pt-BR" w:eastAsia="en-US" w:bidi="ar-SA"/>
              </w:rPr>
              <w:t>serviço</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0"/>
              <w:jc w:val="center"/>
              <w:rPr>
                <w:rFonts w:ascii="Arial" w:hAnsi="Arial" w:cs="Arial"/>
                <w:color w:val="000000"/>
                <w:sz w:val="20"/>
                <w:szCs w:val="20"/>
              </w:rPr>
            </w:pPr>
            <w:r>
              <w:rPr>
                <w:rFonts w:cs="Arial" w:ascii="Arial" w:hAnsi="Arial"/>
                <w:color w:val="000000"/>
                <w:sz w:val="20"/>
                <w:szCs w:val="20"/>
              </w:rPr>
              <w:t>2</w:t>
            </w:r>
          </w:p>
        </w:tc>
        <w:tc>
          <w:tcPr>
            <w:tcW w:w="14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0"/>
              <w:jc w:val="center"/>
              <w:rPr>
                <w:rFonts w:ascii="Arial" w:hAnsi="Arial" w:cs="Arial"/>
                <w:color w:val="000000"/>
                <w:sz w:val="20"/>
                <w:szCs w:val="20"/>
              </w:rPr>
            </w:pPr>
            <w:r>
              <w:rPr>
                <w:rFonts w:cs="Arial" w:ascii="Arial" w:hAnsi="Arial"/>
                <w:color w:val="000000"/>
                <w:sz w:val="20"/>
                <w:szCs w:val="20"/>
              </w:rPr>
              <w:t>R$1000,00</w:t>
            </w:r>
          </w:p>
        </w:tc>
        <w:tc>
          <w:tcPr>
            <w:tcW w:w="13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0"/>
              <w:jc w:val="center"/>
              <w:rPr>
                <w:rFonts w:ascii="Arial" w:hAnsi="Arial" w:cs="Arial"/>
                <w:color w:val="000000"/>
                <w:sz w:val="20"/>
                <w:szCs w:val="20"/>
              </w:rPr>
            </w:pPr>
            <w:r>
              <w:rPr>
                <w:rFonts w:cs="Arial" w:ascii="Arial" w:hAnsi="Arial"/>
                <w:color w:val="000000"/>
                <w:sz w:val="20"/>
                <w:szCs w:val="20"/>
              </w:rPr>
              <w:t>R$ 2.000,00</w:t>
            </w:r>
          </w:p>
        </w:tc>
      </w:tr>
    </w:tbl>
    <w:p>
      <w:pPr>
        <w:pStyle w:val="ListParagraph"/>
        <w:numPr>
          <w:ilvl w:val="1"/>
          <w:numId w:val="1"/>
        </w:numPr>
        <w:spacing w:lineRule="auto" w:line="276" w:before="0" w:after="0"/>
        <w:contextualSpacing/>
        <w:jc w:val="both"/>
        <w:rPr>
          <w:rFonts w:ascii="Arial" w:hAnsi="Arial" w:cs="Arial"/>
          <w:iCs/>
          <w:sz w:val="20"/>
          <w:szCs w:val="20"/>
        </w:rPr>
      </w:pPr>
      <w:r>
        <w:rPr>
          <w:rFonts w:cs="Arial" w:ascii="Arial" w:hAnsi="Arial"/>
          <w:iCs/>
          <w:sz w:val="20"/>
          <w:szCs w:val="20"/>
        </w:rPr>
        <w:t>O objeto desta contratação não se enquadra como sendo de bem de luxo, conforme Decreto nº 10.818, de 2021.</w:t>
      </w:r>
    </w:p>
    <w:p>
      <w:pPr>
        <w:pStyle w:val="Quote"/>
        <w:shd w:val="clear" w:fill="FFFFCC"/>
        <w:spacing w:lineRule="auto" w:line="276" w:before="0" w:after="0"/>
        <w:rPr>
          <w:iCs w:val="false"/>
        </w:rPr>
      </w:pPr>
      <w:r>
        <w:rPr>
          <w:rFonts w:cs="Arial"/>
          <w:b/>
          <w:bCs/>
          <w:szCs w:val="20"/>
        </w:rPr>
        <w:t>Vedação quanto à aquisição de itens de luxo:</w:t>
      </w:r>
      <w:r>
        <w:rPr>
          <w:rFonts w:cs="Arial"/>
          <w:szCs w:val="20"/>
        </w:rPr>
        <w:t xml:space="preserve"> O artigo 20 da Lei nº 14.133/2021 estabelece que os itens de consumo deverão ser de qualidade comum, não superior à necessária para cumprir as finalidades às quais se destinam, vedada a aquisição de artigos de luxo. O Decreto nº 10.818/2021 regulamentou o tema, devendo as vedações nele estabelecidas serem respeitadas pelo administrador público. </w:t>
      </w:r>
    </w:p>
    <w:p>
      <w:pPr>
        <w:pStyle w:val="ListParagraph"/>
        <w:spacing w:lineRule="auto" w:line="276" w:before="0" w:after="0"/>
        <w:ind w:left="716" w:hanging="0"/>
        <w:contextualSpacing/>
        <w:jc w:val="both"/>
        <w:rPr>
          <w:rFonts w:ascii="Arial" w:hAnsi="Arial" w:cs="Arial"/>
          <w:bCs/>
          <w:i/>
          <w:i/>
          <w:color w:val="FF0000"/>
          <w:sz w:val="20"/>
          <w:szCs w:val="20"/>
        </w:rPr>
      </w:pPr>
      <w:r>
        <w:rPr>
          <w:rFonts w:cs="Arial" w:ascii="Arial" w:hAnsi="Arial"/>
          <w:bCs/>
          <w:i/>
          <w:color w:val="FF0000"/>
          <w:sz w:val="20"/>
          <w:szCs w:val="20"/>
        </w:rPr>
      </w:r>
    </w:p>
    <w:p>
      <w:pPr>
        <w:pStyle w:val="ListParagraph"/>
        <w:numPr>
          <w:ilvl w:val="1"/>
          <w:numId w:val="1"/>
        </w:numPr>
        <w:spacing w:lineRule="auto" w:line="276" w:before="0" w:after="0"/>
        <w:contextualSpacing/>
        <w:jc w:val="both"/>
        <w:rPr>
          <w:color w:val="000000"/>
        </w:rPr>
      </w:pPr>
      <w:r>
        <w:rPr>
          <w:rFonts w:cs="Arial" w:ascii="Arial" w:hAnsi="Arial"/>
          <w:bCs/>
          <w:i/>
          <w:color w:val="000000"/>
          <w:sz w:val="20"/>
          <w:szCs w:val="20"/>
        </w:rPr>
        <w:t>O prazo de vigência da contratação é de 30 (trinta) dias contados do recebimento da nota de empenho, na forma do artigo 105 da Lei n° 14.133/2021.</w:t>
      </w:r>
    </w:p>
    <w:p>
      <w:pPr>
        <w:pStyle w:val="Normal"/>
        <w:spacing w:lineRule="auto" w:line="276" w:before="0" w:after="0"/>
        <w:ind w:left="426" w:hanging="0"/>
        <w:jc w:val="both"/>
        <w:rPr>
          <w:color w:val="000000"/>
        </w:rPr>
      </w:pPr>
      <w:r>
        <w:rPr>
          <w:color w:val="000000"/>
        </w:rPr>
      </w:r>
    </w:p>
    <w:p>
      <w:pPr>
        <w:pStyle w:val="ListParagraph"/>
        <w:numPr>
          <w:ilvl w:val="1"/>
          <w:numId w:val="40"/>
        </w:numPr>
        <w:spacing w:lineRule="auto" w:line="276" w:before="0" w:after="0"/>
        <w:contextualSpacing/>
        <w:jc w:val="both"/>
        <w:rPr>
          <w:color w:val="000000"/>
        </w:rPr>
      </w:pPr>
      <w:r>
        <w:rPr>
          <w:rFonts w:cs="Arial" w:ascii="Arial" w:hAnsi="Arial"/>
          <w:iCs/>
          <w:color w:val="000000"/>
          <w:sz w:val="20"/>
          <w:szCs w:val="20"/>
        </w:rPr>
        <w:t>O custo estimado total da contratação é de</w:t>
      </w:r>
      <w:r>
        <w:rPr>
          <w:rFonts w:cs="Arial" w:ascii="Arial" w:hAnsi="Arial"/>
          <w:i/>
          <w:color w:val="000000"/>
          <w:sz w:val="20"/>
          <w:szCs w:val="20"/>
        </w:rPr>
        <w:t xml:space="preserve"> </w:t>
      </w:r>
      <w:r>
        <w:rPr>
          <w:rFonts w:cs="Arial" w:ascii="Arial" w:hAnsi="Arial"/>
          <w:i/>
          <w:color w:val="000000"/>
          <w:sz w:val="20"/>
          <w:szCs w:val="20"/>
          <w:shd w:fill="auto" w:val="clear"/>
        </w:rPr>
        <w:t xml:space="preserve">R$ </w:t>
      </w:r>
      <w:r>
        <w:rPr>
          <w:rFonts w:cs="Arial" w:ascii="Arial" w:hAnsi="Arial"/>
          <w:i/>
          <w:color w:val="000000"/>
          <w:sz w:val="20"/>
          <w:szCs w:val="20"/>
          <w:shd w:fill="auto" w:val="clear"/>
        </w:rPr>
        <w:t>dois mil reais</w:t>
      </w:r>
      <w:r>
        <w:rPr>
          <w:rFonts w:cs="Arial" w:ascii="Arial" w:hAnsi="Arial"/>
          <w:i/>
          <w:color w:val="000000"/>
          <w:sz w:val="20"/>
          <w:szCs w:val="20"/>
        </w:rPr>
        <w:t xml:space="preserve">, </w:t>
      </w:r>
      <w:r>
        <w:rPr>
          <w:rFonts w:cs="Arial" w:ascii="Arial" w:hAnsi="Arial"/>
          <w:iCs/>
          <w:color w:val="000000"/>
          <w:sz w:val="20"/>
          <w:szCs w:val="20"/>
        </w:rPr>
        <w:t>conforme custos unitários apostos</w:t>
      </w:r>
      <w:r>
        <w:rPr>
          <w:rFonts w:cs="Arial" w:ascii="Arial" w:hAnsi="Arial"/>
          <w:i/>
          <w:color w:val="000000"/>
          <w:sz w:val="20"/>
          <w:szCs w:val="20"/>
        </w:rPr>
        <w:t xml:space="preserve"> na tabela acima.</w:t>
      </w:r>
    </w:p>
    <w:p>
      <w:pPr>
        <w:pStyle w:val="Normal"/>
        <w:spacing w:lineRule="auto" w:line="276" w:before="0" w:after="0"/>
        <w:jc w:val="both"/>
        <w:rPr>
          <w:rFonts w:ascii="Arial" w:hAnsi="Arial" w:cs="Arial"/>
          <w:i/>
          <w:i/>
          <w:color w:val="000000"/>
          <w:sz w:val="20"/>
          <w:szCs w:val="20"/>
        </w:rPr>
      </w:pPr>
      <w:r>
        <w:rPr>
          <w:rFonts w:cs="Arial" w:ascii="Arial" w:hAnsi="Arial"/>
          <w:i/>
          <w:color w:val="000000"/>
          <w:sz w:val="20"/>
          <w:szCs w:val="20"/>
        </w:rPr>
      </w:r>
    </w:p>
    <w:p>
      <w:pPr>
        <w:pStyle w:val="Nivel1"/>
        <w:numPr>
          <w:ilvl w:val="0"/>
          <w:numId w:val="1"/>
        </w:numPr>
        <w:spacing w:before="0" w:after="0"/>
        <w:rPr>
          <w:bCs/>
          <w:sz w:val="20"/>
          <w:szCs w:val="20"/>
        </w:rPr>
      </w:pPr>
      <w:r>
        <w:rPr>
          <w:bCs/>
          <w:sz w:val="20"/>
          <w:szCs w:val="20"/>
        </w:rPr>
        <w:t xml:space="preserve">FUNDAMENTAÇÃO E DESCRIÇÃO DA NECESSIDADE DA CONTRATAÇÃO (art. 6º, inciso XXIII, alínea ‘b’, da Lei nº 14.133/2021). </w:t>
      </w:r>
    </w:p>
    <w:p>
      <w:pPr>
        <w:pStyle w:val="ListParagraph"/>
        <w:numPr>
          <w:ilvl w:val="1"/>
          <w:numId w:val="41"/>
        </w:numPr>
        <w:spacing w:lineRule="auto" w:line="276" w:before="0" w:after="0"/>
        <w:contextualSpacing/>
        <w:jc w:val="both"/>
        <w:rPr>
          <w:rFonts w:ascii="Arial" w:hAnsi="Arial" w:cs="Arial"/>
          <w:sz w:val="20"/>
          <w:szCs w:val="20"/>
        </w:rPr>
      </w:pPr>
      <w:r>
        <w:rPr>
          <w:rFonts w:cs="Arial" w:ascii="Arial" w:hAnsi="Arial"/>
          <w:sz w:val="20"/>
          <w:szCs w:val="20"/>
        </w:rPr>
        <w:t>A Fundamentação da Contratação e de seus quantitativos encontra-se pormenorizada em Tópico específico dos Estudos Técnicos Preliminares, apêndice deste Termo de Referência.</w:t>
      </w:r>
    </w:p>
    <w:p>
      <w:pPr>
        <w:pStyle w:val="ListParagraph"/>
        <w:numPr>
          <w:ilvl w:val="0"/>
          <w:numId w:val="0"/>
        </w:numPr>
        <w:spacing w:lineRule="auto" w:line="276" w:before="0" w:after="0"/>
        <w:ind w:left="1152" w:hanging="0"/>
        <w:contextualSpacing/>
        <w:jc w:val="both"/>
        <w:rPr>
          <w:rFonts w:ascii="Arial" w:hAnsi="Arial" w:cs="Arial"/>
          <w:sz w:val="20"/>
          <w:szCs w:val="20"/>
        </w:rPr>
      </w:pPr>
      <w:r>
        <w:rPr>
          <w:rFonts w:cs="Arial" w:ascii="Arial" w:hAnsi="Arial"/>
          <w:sz w:val="20"/>
          <w:szCs w:val="20"/>
        </w:rPr>
      </w:r>
    </w:p>
    <w:p>
      <w:pPr>
        <w:pStyle w:val="Nivel1"/>
        <w:numPr>
          <w:ilvl w:val="0"/>
          <w:numId w:val="1"/>
        </w:numPr>
        <w:spacing w:before="0" w:after="0"/>
        <w:rPr>
          <w:bCs/>
          <w:sz w:val="20"/>
          <w:szCs w:val="20"/>
        </w:rPr>
      </w:pPr>
      <w:r>
        <w:rPr>
          <w:bCs/>
          <w:sz w:val="20"/>
          <w:szCs w:val="20"/>
        </w:rPr>
        <w:t>DESCRIÇÃO DA SOLUÇÃO COMO UM TODO CONSIDERADO O CICLO DE VIDA DO OBJETO E ESPECIFICAÇÃO DO PRODUTO (art. 6º, inciso XXIII, alínea ‘c’, e art. 40, §1º, inciso I, da Lei nº 14.133/2021)</w:t>
      </w:r>
    </w:p>
    <w:p>
      <w:pPr>
        <w:pStyle w:val="ListParagraph"/>
        <w:numPr>
          <w:ilvl w:val="1"/>
          <w:numId w:val="42"/>
        </w:numPr>
        <w:spacing w:lineRule="auto" w:line="276" w:before="0" w:after="0"/>
        <w:contextualSpacing/>
        <w:jc w:val="both"/>
        <w:rPr>
          <w:color w:val="000000"/>
        </w:rPr>
      </w:pPr>
      <w:r>
        <w:rPr>
          <w:rFonts w:cs="Arial" w:ascii="Arial" w:hAnsi="Arial"/>
          <w:i/>
          <w:iCs/>
          <w:color w:val="000000"/>
          <w:sz w:val="20"/>
          <w:szCs w:val="20"/>
        </w:rPr>
        <w:t>A descrição da solução como um todo, encontra-se pormenorizada em tópico específico dos Estudos Técnicos Preliminares, apêndice deste Termo de Referência.</w:t>
      </w:r>
    </w:p>
    <w:p>
      <w:pPr>
        <w:pStyle w:val="ListParagraph"/>
        <w:numPr>
          <w:ilvl w:val="0"/>
          <w:numId w:val="0"/>
        </w:numPr>
        <w:spacing w:lineRule="auto" w:line="276" w:before="0" w:after="0"/>
        <w:ind w:left="1152" w:hanging="0"/>
        <w:contextualSpacing/>
        <w:jc w:val="both"/>
        <w:rPr>
          <w:rFonts w:ascii="Arial" w:hAnsi="Arial" w:cs="Arial"/>
          <w:i/>
          <w:i/>
          <w:iCs/>
          <w:sz w:val="20"/>
          <w:szCs w:val="20"/>
        </w:rPr>
      </w:pPr>
      <w:r>
        <w:rPr>
          <w:rFonts w:cs="Arial" w:ascii="Arial" w:hAnsi="Arial"/>
          <w:i/>
          <w:iCs/>
          <w:sz w:val="20"/>
          <w:szCs w:val="20"/>
        </w:rPr>
      </w:r>
    </w:p>
    <w:p>
      <w:pPr>
        <w:pStyle w:val="Nivel1"/>
        <w:numPr>
          <w:ilvl w:val="0"/>
          <w:numId w:val="1"/>
        </w:numPr>
        <w:spacing w:before="0" w:after="0"/>
        <w:rPr>
          <w:bCs/>
          <w:sz w:val="20"/>
          <w:szCs w:val="20"/>
        </w:rPr>
      </w:pPr>
      <w:r>
        <w:rPr>
          <w:bCs/>
          <w:sz w:val="20"/>
          <w:szCs w:val="20"/>
        </w:rPr>
        <w:t>REQUISITOS DA CONTRATAÇÃO (art. 6º, XXIII, alínea ‘d’, da Lei nº 14.133/21</w:t>
      </w:r>
    </w:p>
    <w:p>
      <w:pPr>
        <w:pStyle w:val="ListParagraph"/>
        <w:numPr>
          <w:ilvl w:val="1"/>
          <w:numId w:val="43"/>
        </w:numPr>
        <w:spacing w:lineRule="auto" w:line="276" w:before="0" w:after="0"/>
        <w:contextualSpacing/>
        <w:jc w:val="both"/>
        <w:rPr>
          <w:rFonts w:ascii="Arial" w:hAnsi="Arial" w:cs="Arial"/>
          <w:i/>
          <w:i/>
          <w:iCs/>
          <w:sz w:val="20"/>
          <w:szCs w:val="20"/>
        </w:rPr>
      </w:pPr>
      <w:r>
        <w:rPr>
          <w:rFonts w:cs="Arial" w:ascii="Arial" w:hAnsi="Arial"/>
          <w:sz w:val="20"/>
          <w:szCs w:val="20"/>
        </w:rPr>
        <w:t>A contratação deverá observar os seguintes requisitos:</w:t>
      </w:r>
    </w:p>
    <w:p>
      <w:pPr>
        <w:pStyle w:val="ListParagraph"/>
        <w:numPr>
          <w:ilvl w:val="2"/>
          <w:numId w:val="1"/>
        </w:numPr>
        <w:spacing w:lineRule="auto" w:line="276" w:before="0" w:after="0"/>
        <w:contextualSpacing/>
        <w:jc w:val="both"/>
        <w:rPr>
          <w:rFonts w:ascii="Arial" w:hAnsi="Arial" w:cs="Arial"/>
          <w:i/>
          <w:i/>
          <w:iCs/>
          <w:sz w:val="20"/>
          <w:szCs w:val="20"/>
        </w:rPr>
      </w:pPr>
      <w:r>
        <w:rPr>
          <w:rFonts w:cs="Arial" w:ascii="Arial" w:hAnsi="Arial"/>
          <w:i/>
          <w:iCs/>
          <w:sz w:val="20"/>
          <w:szCs w:val="20"/>
        </w:rPr>
        <w:t xml:space="preserve"> </w:t>
      </w:r>
      <w:r>
        <w:rPr>
          <w:rFonts w:cs="Arial" w:ascii="Arial" w:hAnsi="Arial"/>
          <w:i/>
          <w:iCs/>
          <w:color w:val="000000"/>
          <w:sz w:val="20"/>
          <w:szCs w:val="20"/>
        </w:rPr>
        <w:t>Sustentabilidade:</w:t>
      </w:r>
    </w:p>
    <w:p>
      <w:pPr>
        <w:pStyle w:val="Quote"/>
        <w:shd w:val="clear" w:fill="FFFFCC"/>
        <w:spacing w:lineRule="auto" w:line="276" w:before="0" w:after="0"/>
        <w:rPr>
          <w:rFonts w:eastAsia="MyriadPro-Regular" w:cs="Arial"/>
          <w:bCs/>
          <w:szCs w:val="20"/>
        </w:rPr>
      </w:pPr>
      <w:r>
        <w:rPr>
          <w:rFonts w:eastAsia="MyriadPro-Regular" w:cs="Arial"/>
          <w:bCs/>
          <w:szCs w:val="20"/>
        </w:rPr>
        <w:t xml:space="preserve"> </w:t>
      </w:r>
      <w:r>
        <w:rPr>
          <w:rFonts w:eastAsia="MyriadPro-Regular" w:cs="Arial"/>
          <w:bCs/>
          <w:szCs w:val="20"/>
        </w:rPr>
        <w:t>restar comprovado que produtos adquiridos e utilizados anteriormente não atendem a requisitos indispensáveis ao pleno adimplemento da obrigação contratual. A Administração, na condição de contratante, deve aproveitar sua experiência para aperfeiçoar seu processo de contratação, por meio da adoção de providências que evitem a repetição de compras malsucedidas. Além do preço, elementos como qualidade do produto e da assistência técnica assim como durabilidade do bem e custos com manutenção são essenciais para que se conclua que um objeto atende ou não a necessidade administrativa. Diferentemente do mercado privado, em que basta a vontade do particular de não efetuar nova contratação, no âmbito das contratações públicas é necessária a existência de justo motivo, que a lei vincula à existência de processo administrativo prévio, cujo resultado tenha culminado com a conclusão de que determinado produto ou marca não atendem aos requisitos mínimos para que sejam adquiridas pela Administração. O caput do artigo 41 deixa claro que essa deve ser uma medida excepcional, que terá cabimento quando houver necessidade. Somente será possível vedar a aquisição de produto ou marca se houver processo administrativo prévio no qual as razões administrativas tenham sido expostas, com possibilidade de participação do particular envolvido, a fim de que a exclusão de marca ou produto não constitua um ato arbitrário. As razões para a vedação devem ser apresentadas no Estudo Técnico Preliminar, inclusive com citação de trechos do processo administrativo em que se consolidou a vedação, se for o caso.</w:t>
      </w:r>
    </w:p>
    <w:p>
      <w:pPr>
        <w:pStyle w:val="Quote"/>
        <w:shd w:val="clear" w:fill="FFFFCC"/>
        <w:spacing w:lineRule="auto" w:line="276" w:before="0" w:after="0"/>
        <w:rPr>
          <w:rFonts w:eastAsia="MyriadPro-Regular" w:cs="Arial"/>
          <w:bCs/>
          <w:szCs w:val="20"/>
        </w:rPr>
      </w:pPr>
      <w:r>
        <w:rPr>
          <w:rFonts w:eastAsia="MyriadPro-Regular" w:cs="Arial"/>
          <w:bCs/>
          <w:szCs w:val="20"/>
        </w:rPr>
        <w:t>A referida disposição foi mantida neste Termo de Referência para uso no caso de dispensa de licitação precedida de algum procedimento competitivo.</w:t>
      </w:r>
    </w:p>
    <w:p>
      <w:pPr>
        <w:pStyle w:val="ListParagraph"/>
        <w:spacing w:lineRule="auto" w:line="276" w:before="0" w:after="0"/>
        <w:ind w:left="930" w:hanging="0"/>
        <w:contextualSpacing/>
        <w:jc w:val="both"/>
        <w:rPr>
          <w:rFonts w:ascii="Arial" w:hAnsi="Arial" w:cs="Arial"/>
          <w:color w:val="FF0000"/>
          <w:sz w:val="20"/>
          <w:szCs w:val="20"/>
        </w:rPr>
      </w:pPr>
      <w:r>
        <w:rPr>
          <w:rFonts w:cs="Arial" w:ascii="Arial" w:hAnsi="Arial"/>
          <w:color w:val="FF0000"/>
          <w:sz w:val="20"/>
          <w:szCs w:val="20"/>
        </w:rPr>
      </w:r>
    </w:p>
    <w:p>
      <w:pPr>
        <w:pStyle w:val="ListParagraph"/>
        <w:spacing w:lineRule="auto" w:line="276" w:before="0" w:after="0"/>
        <w:ind w:left="716" w:hanging="0"/>
        <w:contextualSpacing/>
        <w:jc w:val="both"/>
        <w:rPr>
          <w:rFonts w:ascii="Arial" w:hAnsi="Arial" w:cs="Arial"/>
          <w:i/>
          <w:i/>
          <w:color w:val="FF0000"/>
          <w:sz w:val="20"/>
          <w:szCs w:val="20"/>
        </w:rPr>
      </w:pPr>
      <w:r>
        <w:rPr>
          <w:rFonts w:cs="Arial" w:ascii="Arial" w:hAnsi="Arial"/>
          <w:i/>
          <w:color w:val="FF0000"/>
          <w:sz w:val="20"/>
          <w:szCs w:val="20"/>
        </w:rPr>
      </w:r>
    </w:p>
    <w:p>
      <w:pPr>
        <w:pStyle w:val="ListParagraph"/>
        <w:numPr>
          <w:ilvl w:val="1"/>
          <w:numId w:val="1"/>
        </w:numPr>
        <w:spacing w:lineRule="auto" w:line="276" w:before="0" w:after="0"/>
        <w:contextualSpacing/>
        <w:jc w:val="both"/>
        <w:rPr>
          <w:color w:val="000000"/>
        </w:rPr>
      </w:pPr>
      <w:r>
        <w:rPr>
          <w:rFonts w:cs="Arial" w:ascii="Arial" w:hAnsi="Arial"/>
          <w:i/>
          <w:color w:val="000000"/>
          <w:sz w:val="20"/>
          <w:szCs w:val="20"/>
        </w:rPr>
        <w:t>Não será admitida a subcontratação do objeto contratual.</w:t>
      </w:r>
    </w:p>
    <w:p>
      <w:pPr>
        <w:pStyle w:val="ListParagraph"/>
        <w:numPr>
          <w:ilvl w:val="0"/>
          <w:numId w:val="0"/>
        </w:numPr>
        <w:spacing w:lineRule="auto" w:line="276" w:before="0" w:after="0"/>
        <w:ind w:left="1152" w:hanging="0"/>
        <w:contextualSpacing/>
        <w:jc w:val="both"/>
        <w:rPr>
          <w:rFonts w:ascii="Arial" w:hAnsi="Arial" w:cs="Arial"/>
          <w:i/>
          <w:i/>
          <w:sz w:val="20"/>
          <w:szCs w:val="20"/>
        </w:rPr>
      </w:pPr>
      <w:r>
        <w:rPr>
          <w:rFonts w:cs="Arial" w:ascii="Arial" w:hAnsi="Arial"/>
          <w:i/>
          <w:sz w:val="20"/>
          <w:szCs w:val="20"/>
        </w:rPr>
      </w:r>
    </w:p>
    <w:p>
      <w:pPr>
        <w:pStyle w:val="ListParagraph"/>
        <w:numPr>
          <w:ilvl w:val="1"/>
          <w:numId w:val="44"/>
        </w:numPr>
        <w:spacing w:lineRule="auto" w:line="276" w:before="0" w:after="0"/>
        <w:contextualSpacing/>
        <w:jc w:val="both"/>
        <w:rPr>
          <w:color w:val="000000"/>
        </w:rPr>
      </w:pPr>
      <w:r>
        <w:rPr>
          <w:rFonts w:cs="Arial" w:ascii="Arial" w:hAnsi="Arial"/>
          <w:i/>
          <w:color w:val="000000"/>
          <w:sz w:val="20"/>
          <w:szCs w:val="20"/>
        </w:rPr>
        <w:t>Não haverá exigência da garantia da contratação dos arts. 96 e seguintes da Lei nº 14.133/21, pelas razões abaixo justificadas:</w:t>
      </w:r>
    </w:p>
    <w:p>
      <w:pPr>
        <w:pStyle w:val="ListParagraph"/>
        <w:numPr>
          <w:ilvl w:val="2"/>
          <w:numId w:val="45"/>
        </w:numPr>
        <w:spacing w:lineRule="auto" w:line="276" w:before="0" w:after="0"/>
        <w:contextualSpacing/>
        <w:jc w:val="both"/>
        <w:rPr>
          <w:color w:val="000000"/>
        </w:rPr>
      </w:pPr>
      <w:r>
        <w:rPr>
          <w:rFonts w:cs="Arial" w:ascii="Arial" w:hAnsi="Arial"/>
          <w:i/>
          <w:color w:val="000000"/>
          <w:sz w:val="20"/>
          <w:szCs w:val="20"/>
        </w:rPr>
        <w:t xml:space="preserve"> </w:t>
      </w:r>
      <w:r>
        <w:rPr>
          <w:rFonts w:cs="Arial" w:ascii="Arial" w:hAnsi="Arial"/>
          <w:i/>
          <w:color w:val="000000"/>
          <w:sz w:val="20"/>
          <w:szCs w:val="20"/>
        </w:rPr>
        <w:t>Tendo em vista ser um objeto de pequena complexidade e bem simplório.</w:t>
      </w:r>
    </w:p>
    <w:p>
      <w:pPr>
        <w:pStyle w:val="ListParagraph"/>
        <w:numPr>
          <w:ilvl w:val="2"/>
          <w:numId w:val="46"/>
        </w:numPr>
        <w:spacing w:lineRule="auto" w:line="276" w:before="0" w:after="0"/>
        <w:contextualSpacing/>
        <w:jc w:val="both"/>
        <w:rPr>
          <w:color w:val="000000"/>
        </w:rPr>
      </w:pPr>
      <w:r>
        <w:rPr>
          <w:rFonts w:cs="Arial" w:ascii="Arial" w:hAnsi="Arial"/>
          <w:i/>
          <w:color w:val="000000"/>
          <w:sz w:val="20"/>
          <w:szCs w:val="20"/>
        </w:rPr>
        <w:t>E por ser um item comum, simples e comum no mercado onde muitas empresas comercializam tais produtos.</w:t>
      </w:r>
    </w:p>
    <w:p>
      <w:pPr>
        <w:pStyle w:val="Normal"/>
        <w:rPr>
          <w:rFonts w:ascii="Arial" w:hAnsi="Arial" w:cs="Arial"/>
          <w:b/>
          <w:b/>
          <w:bCs/>
          <w:color w:val="FF0000"/>
          <w:sz w:val="20"/>
          <w:szCs w:val="20"/>
          <w:u w:val="single"/>
        </w:rPr>
      </w:pPr>
      <w:r>
        <w:rPr>
          <w:rFonts w:cs="Arial" w:ascii="Arial" w:hAnsi="Arial"/>
          <w:b/>
          <w:bCs/>
          <w:color w:val="FF0000"/>
          <w:sz w:val="20"/>
          <w:szCs w:val="20"/>
          <w:u w:val="single"/>
        </w:rPr>
      </w:r>
    </w:p>
    <w:p>
      <w:pPr>
        <w:pStyle w:val="Nivel1"/>
        <w:numPr>
          <w:ilvl w:val="0"/>
          <w:numId w:val="1"/>
        </w:numPr>
        <w:spacing w:before="0" w:after="0"/>
        <w:rPr>
          <w:sz w:val="20"/>
          <w:szCs w:val="20"/>
        </w:rPr>
      </w:pPr>
      <w:r>
        <w:rPr>
          <w:sz w:val="20"/>
          <w:szCs w:val="20"/>
        </w:rPr>
        <w:t>MODELO DE EXECUÇÃO CONTRATUAL (arts. 6º, XXIII, alínea “e” e 40, §1º, inciso II, da Lei nº 14.133/2021).</w:t>
      </w:r>
    </w:p>
    <w:p>
      <w:pPr>
        <w:pStyle w:val="Nivel2"/>
        <w:numPr>
          <w:ilvl w:val="1"/>
          <w:numId w:val="47"/>
        </w:numPr>
        <w:spacing w:before="0" w:after="0"/>
        <w:rPr>
          <w:color w:val="000000"/>
        </w:rPr>
      </w:pPr>
      <w:r>
        <w:rPr>
          <w:i/>
          <w:iCs/>
          <w:color w:val="000000"/>
          <w:sz w:val="20"/>
          <w:szCs w:val="20"/>
        </w:rPr>
        <w:t xml:space="preserve">O prazo de entrega dos bens é de 30 (trinta) dias, contados do recebimento da nota de empenho, em remessa única. </w:t>
      </w:r>
    </w:p>
    <w:p>
      <w:pPr>
        <w:pStyle w:val="Nivel2"/>
        <w:widowControl/>
        <w:numPr>
          <w:ilvl w:val="1"/>
          <w:numId w:val="48"/>
        </w:numPr>
        <w:bidi w:val="0"/>
        <w:spacing w:lineRule="auto" w:line="276" w:before="0" w:after="0"/>
        <w:ind w:left="0" w:right="0" w:hanging="0"/>
        <w:jc w:val="both"/>
        <w:rPr>
          <w:color w:val="000000"/>
        </w:rPr>
      </w:pPr>
      <w:r>
        <w:rPr>
          <w:bCs/>
          <w:i/>
          <w:iCs/>
          <w:color w:val="000000"/>
          <w:sz w:val="20"/>
          <w:szCs w:val="20"/>
        </w:rPr>
        <w:t xml:space="preserve">Caso não seja possível a </w:t>
      </w:r>
      <w:r>
        <w:rPr>
          <w:rFonts w:eastAsia="Calibri" w:cs="Arial"/>
          <w:bCs/>
          <w:i/>
          <w:iCs/>
          <w:color w:val="000000"/>
          <w:kern w:val="0"/>
          <w:sz w:val="20"/>
          <w:szCs w:val="20"/>
          <w:lang w:val="pt-BR" w:eastAsia="en-US" w:bidi="ar-SA"/>
        </w:rPr>
        <w:t>prestação do serviço</w:t>
      </w:r>
      <w:r>
        <w:rPr>
          <w:bCs/>
          <w:i/>
          <w:iCs/>
          <w:color w:val="000000"/>
          <w:sz w:val="20"/>
          <w:szCs w:val="20"/>
        </w:rPr>
        <w:t xml:space="preserve"> na data assinalada, a empresa deverá comunicar as razões respectivas com pelo menos (</w:t>
      </w:r>
      <w:r>
        <w:rPr>
          <w:bCs/>
          <w:i/>
          <w:iCs/>
          <w:color w:val="000000"/>
          <w:sz w:val="20"/>
          <w:szCs w:val="20"/>
        </w:rPr>
        <w:t>5</w:t>
      </w:r>
      <w:r>
        <w:rPr>
          <w:bCs/>
          <w:i/>
          <w:iCs/>
          <w:color w:val="000000"/>
          <w:sz w:val="20"/>
          <w:szCs w:val="20"/>
        </w:rPr>
        <w:t xml:space="preserve">) dias de antecedência para que qualquer pleito de prorrogação de prazo seja analisado, ressalvadas situações de caso fortuito e </w:t>
      </w:r>
      <w:r>
        <w:rPr>
          <w:i/>
          <w:iCs/>
          <w:color w:val="000000"/>
          <w:sz w:val="20"/>
          <w:szCs w:val="20"/>
        </w:rPr>
        <w:t>força</w:t>
      </w:r>
      <w:r>
        <w:rPr>
          <w:bCs/>
          <w:i/>
          <w:iCs/>
          <w:color w:val="000000"/>
          <w:sz w:val="20"/>
          <w:szCs w:val="20"/>
        </w:rPr>
        <w:t xml:space="preserve"> maior.</w:t>
      </w:r>
    </w:p>
    <w:p>
      <w:pPr>
        <w:pStyle w:val="Nivel2"/>
        <w:widowControl/>
        <w:numPr>
          <w:ilvl w:val="1"/>
          <w:numId w:val="49"/>
        </w:numPr>
        <w:bidi w:val="0"/>
        <w:spacing w:lineRule="auto" w:line="276" w:before="0" w:after="0"/>
        <w:ind w:left="0" w:right="0" w:hanging="0"/>
        <w:jc w:val="both"/>
        <w:rPr>
          <w:color w:val="000000"/>
        </w:rPr>
      </w:pPr>
      <w:r>
        <w:rPr>
          <w:bCs/>
          <w:i/>
          <w:iCs/>
          <w:color w:val="000000"/>
          <w:sz w:val="20"/>
          <w:szCs w:val="20"/>
        </w:rPr>
        <w:t xml:space="preserve">Os </w:t>
      </w:r>
      <w:r>
        <w:rPr>
          <w:rFonts w:eastAsia="Calibri" w:cs="Arial"/>
          <w:bCs/>
          <w:i/>
          <w:iCs/>
          <w:color w:val="000000"/>
          <w:kern w:val="0"/>
          <w:sz w:val="20"/>
          <w:szCs w:val="20"/>
          <w:lang w:val="pt-BR" w:eastAsia="en-US" w:bidi="ar-SA"/>
        </w:rPr>
        <w:t>serviços</w:t>
      </w:r>
      <w:r>
        <w:rPr>
          <w:bCs/>
          <w:i/>
          <w:iCs/>
          <w:color w:val="000000"/>
          <w:sz w:val="20"/>
          <w:szCs w:val="20"/>
        </w:rPr>
        <w:t xml:space="preserve"> deverão ser </w:t>
      </w:r>
      <w:r>
        <w:rPr>
          <w:rFonts w:eastAsia="Calibri" w:cs="Arial"/>
          <w:bCs/>
          <w:i/>
          <w:iCs/>
          <w:color w:val="000000"/>
          <w:kern w:val="0"/>
          <w:sz w:val="20"/>
          <w:szCs w:val="20"/>
          <w:lang w:val="pt-BR" w:eastAsia="en-US" w:bidi="ar-SA"/>
        </w:rPr>
        <w:t>prestados</w:t>
      </w:r>
      <w:r>
        <w:rPr>
          <w:bCs/>
          <w:i/>
          <w:iCs/>
          <w:color w:val="000000"/>
          <w:sz w:val="20"/>
          <w:szCs w:val="20"/>
        </w:rPr>
        <w:t xml:space="preserve"> no seguinte endereço:  </w:t>
      </w:r>
      <w:r>
        <w:rPr>
          <w:rFonts w:eastAsia="Calibri" w:cs="Arial"/>
          <w:bCs/>
          <w:i/>
          <w:iCs/>
          <w:color w:val="000000"/>
          <w:kern w:val="0"/>
          <w:sz w:val="20"/>
          <w:szCs w:val="20"/>
          <w:lang w:val="pt-BR" w:eastAsia="en-US" w:bidi="ar-SA"/>
        </w:rPr>
        <w:t xml:space="preserve">Rua Mariano Procópio, nº 970, bairro Mariano Procópio, Juiz de Fora – MG. </w:t>
      </w:r>
    </w:p>
    <w:p>
      <w:pPr>
        <w:pStyle w:val="Nivel2"/>
        <w:widowControl/>
        <w:numPr>
          <w:ilvl w:val="1"/>
          <w:numId w:val="50"/>
        </w:numPr>
        <w:bidi w:val="0"/>
        <w:spacing w:lineRule="auto" w:line="276" w:before="0" w:after="0"/>
        <w:ind w:left="0" w:right="0" w:hanging="0"/>
        <w:jc w:val="both"/>
        <w:rPr>
          <w:bCs/>
          <w:color w:val="auto"/>
          <w:sz w:val="20"/>
          <w:szCs w:val="20"/>
        </w:rPr>
      </w:pPr>
      <w:r>
        <w:rPr>
          <w:bCs/>
          <w:color w:val="auto"/>
          <w:sz w:val="20"/>
          <w:szCs w:val="20"/>
        </w:rPr>
        <w:t xml:space="preserve">Os </w:t>
      </w:r>
      <w:r>
        <w:rPr>
          <w:bCs/>
          <w:color w:val="auto"/>
          <w:sz w:val="20"/>
          <w:szCs w:val="20"/>
        </w:rPr>
        <w:t>serviços</w:t>
      </w:r>
      <w:r>
        <w:rPr>
          <w:bCs/>
          <w:color w:val="auto"/>
          <w:sz w:val="20"/>
          <w:szCs w:val="20"/>
        </w:rPr>
        <w:t xml:space="preserve"> serão recebidos provisoriamente, de forma sumária, no prazo de 05 (cinco)</w:t>
      </w:r>
      <w:r>
        <w:rPr>
          <w:bCs/>
          <w:color w:val="FF0000"/>
          <w:sz w:val="20"/>
          <w:szCs w:val="20"/>
        </w:rPr>
        <w:t xml:space="preserve"> </w:t>
      </w:r>
      <w:r>
        <w:rPr>
          <w:bCs/>
          <w:color w:val="auto"/>
          <w:sz w:val="20"/>
          <w:szCs w:val="20"/>
        </w:rPr>
        <w:t>dias, pelo(a) responsável pelo acompanhamento e fiscalização do contrato, para efeito de posterior verificação de sua conformidade com as especificações constantes neste Termo de Referência e na proposta.</w:t>
      </w:r>
    </w:p>
    <w:p>
      <w:pPr>
        <w:pStyle w:val="Nivel2"/>
        <w:widowControl/>
        <w:numPr>
          <w:ilvl w:val="1"/>
          <w:numId w:val="51"/>
        </w:numPr>
        <w:bidi w:val="0"/>
        <w:spacing w:lineRule="auto" w:line="276" w:before="0" w:after="0"/>
        <w:ind w:left="0" w:right="0" w:hanging="0"/>
        <w:jc w:val="both"/>
        <w:rPr>
          <w:bCs/>
          <w:color w:val="auto"/>
          <w:sz w:val="20"/>
          <w:szCs w:val="20"/>
        </w:rPr>
      </w:pPr>
      <w:r>
        <w:rPr>
          <w:bCs/>
          <w:color w:val="auto"/>
          <w:sz w:val="20"/>
          <w:szCs w:val="20"/>
        </w:rPr>
        <w:t xml:space="preserve">Os </w:t>
      </w:r>
      <w:r>
        <w:rPr>
          <w:bCs/>
          <w:color w:val="auto"/>
          <w:sz w:val="20"/>
          <w:szCs w:val="20"/>
        </w:rPr>
        <w:t>serviços</w:t>
      </w:r>
      <w:r>
        <w:rPr>
          <w:bCs/>
          <w:color w:val="auto"/>
          <w:sz w:val="20"/>
          <w:szCs w:val="20"/>
        </w:rPr>
        <w:t xml:space="preserve"> poderão ser rejeitados, no todo ou em parte, quando em desacordo com as especificações constantes neste Termo de Referência e na proposta, devendo ser substituídos no prazo de 10 (dez) dias, a contar da notificação da contratada, às suas custas, sem prejuízo da aplicação das penalidades.</w:t>
      </w:r>
    </w:p>
    <w:p>
      <w:pPr>
        <w:pStyle w:val="Nivel2"/>
        <w:numPr>
          <w:ilvl w:val="1"/>
          <w:numId w:val="52"/>
        </w:numPr>
        <w:spacing w:before="0" w:after="0"/>
        <w:ind w:left="284" w:hanging="0"/>
        <w:rPr>
          <w:bCs/>
          <w:color w:val="auto"/>
          <w:sz w:val="20"/>
          <w:szCs w:val="20"/>
        </w:rPr>
      </w:pPr>
      <w:r>
        <w:rPr>
          <w:bCs/>
          <w:color w:val="auto"/>
          <w:sz w:val="20"/>
          <w:szCs w:val="20"/>
        </w:rPr>
        <w:t xml:space="preserve">Os </w:t>
      </w:r>
      <w:r>
        <w:rPr>
          <w:bCs/>
          <w:color w:val="auto"/>
          <w:sz w:val="20"/>
          <w:szCs w:val="20"/>
        </w:rPr>
        <w:t>serviços</w:t>
      </w:r>
      <w:r>
        <w:rPr>
          <w:bCs/>
          <w:color w:val="auto"/>
          <w:sz w:val="20"/>
          <w:szCs w:val="20"/>
        </w:rPr>
        <w:t xml:space="preserve"> serão recebidos definitivamente no prazo de 10 (dez) dias, contados do recebimento provisório, após a verificação da qualidade e quantidade do material e consequente aceitação mediante termo detalhado.</w:t>
      </w:r>
    </w:p>
    <w:p>
      <w:pPr>
        <w:pStyle w:val="Nivel2"/>
        <w:numPr>
          <w:ilvl w:val="2"/>
          <w:numId w:val="53"/>
        </w:numPr>
        <w:spacing w:before="0" w:after="0"/>
        <w:rPr>
          <w:bCs/>
          <w:color w:val="auto"/>
          <w:sz w:val="20"/>
          <w:szCs w:val="20"/>
        </w:rPr>
      </w:pPr>
      <w:r>
        <w:rPr>
          <w:bCs/>
          <w:color w:val="auto"/>
          <w:sz w:val="20"/>
          <w:szCs w:val="20"/>
        </w:rPr>
        <w:t>Na hipótese de a verificação a que se refere o subitem anterior não ser procedida dentro do prazo fixado, reputar-se-á como realizada, consumando-se o recebimento definitivo no dia do esgotamento do prazo.</w:t>
      </w:r>
    </w:p>
    <w:p>
      <w:pPr>
        <w:pStyle w:val="Nivel2"/>
        <w:numPr>
          <w:ilvl w:val="1"/>
          <w:numId w:val="54"/>
        </w:numPr>
        <w:spacing w:before="0" w:after="0"/>
        <w:ind w:left="284" w:hanging="0"/>
        <w:rPr>
          <w:bCs/>
          <w:color w:val="auto"/>
          <w:sz w:val="20"/>
          <w:szCs w:val="20"/>
        </w:rPr>
      </w:pPr>
      <w:r>
        <w:rPr>
          <w:bCs/>
          <w:color w:val="auto"/>
          <w:sz w:val="20"/>
          <w:szCs w:val="20"/>
        </w:rPr>
        <w:t>O recebimento provisório ou definitivo não excluirá a responsabilidade civil pela solidez e pela segurança do serviço nem a responsabilidade ético-profissional pela perfeita execução do contrato.</w:t>
      </w:r>
    </w:p>
    <w:p>
      <w:pPr>
        <w:pStyle w:val="Nivel1"/>
        <w:numPr>
          <w:ilvl w:val="0"/>
          <w:numId w:val="0"/>
        </w:numPr>
        <w:spacing w:before="0" w:after="0"/>
        <w:ind w:left="360" w:hanging="360"/>
        <w:rPr>
          <w:color w:val="FF0000"/>
          <w:sz w:val="20"/>
          <w:szCs w:val="20"/>
        </w:rPr>
      </w:pPr>
      <w:r>
        <w:rPr>
          <w:color w:val="FF0000"/>
          <w:sz w:val="20"/>
          <w:szCs w:val="20"/>
        </w:rPr>
      </w:r>
    </w:p>
    <w:p>
      <w:pPr>
        <w:pStyle w:val="Nivel1"/>
        <w:numPr>
          <w:ilvl w:val="0"/>
          <w:numId w:val="1"/>
        </w:numPr>
        <w:spacing w:before="0" w:after="0"/>
        <w:rPr>
          <w:sz w:val="20"/>
          <w:szCs w:val="20"/>
        </w:rPr>
      </w:pPr>
      <w:r>
        <w:rPr>
          <w:sz w:val="20"/>
          <w:szCs w:val="20"/>
        </w:rPr>
        <w:t>MODELO DE GESTÃO DO CONTRATO (art. 6º, XXIII, alínea “f”, da Lei nº 14.133/21)</w:t>
      </w:r>
    </w:p>
    <w:p>
      <w:pPr>
        <w:pStyle w:val="Nivel2"/>
        <w:spacing w:before="0" w:after="0"/>
        <w:rPr>
          <w:color w:val="auto"/>
          <w:sz w:val="20"/>
          <w:szCs w:val="20"/>
        </w:rPr>
      </w:pPr>
      <w:r>
        <w:rPr>
          <w:color w:val="auto"/>
          <w:sz w:val="20"/>
          <w:szCs w:val="20"/>
        </w:rPr>
      </w:r>
    </w:p>
    <w:p>
      <w:pPr>
        <w:pStyle w:val="Nivel2"/>
        <w:numPr>
          <w:ilvl w:val="1"/>
          <w:numId w:val="55"/>
        </w:numPr>
        <w:spacing w:before="0" w:after="0"/>
        <w:ind w:left="0" w:hanging="0"/>
        <w:rPr>
          <w:color w:val="auto"/>
          <w:sz w:val="20"/>
          <w:szCs w:val="20"/>
        </w:rPr>
      </w:pPr>
      <w:r>
        <w:rPr>
          <w:color w:val="auto"/>
          <w:sz w:val="20"/>
          <w:szCs w:val="20"/>
        </w:rPr>
        <w:t xml:space="preserve">O contrato deverá ser executado fielmente pelas partes, de acordo com as cláusulas avençadas e as normas da Lei nº 14.133, de 2021, e cada parte responderá pelas consequências de sua inexecução total ou parcial (Lei nº 14.133/2021, art. 115, </w:t>
      </w:r>
      <w:r>
        <w:rPr>
          <w:i/>
          <w:iCs/>
          <w:color w:val="auto"/>
          <w:sz w:val="20"/>
          <w:szCs w:val="20"/>
        </w:rPr>
        <w:t>caput</w:t>
      </w:r>
      <w:r>
        <w:rPr>
          <w:color w:val="auto"/>
          <w:sz w:val="20"/>
          <w:szCs w:val="20"/>
        </w:rPr>
        <w:t>).</w:t>
      </w:r>
    </w:p>
    <w:p>
      <w:pPr>
        <w:pStyle w:val="Nivel2"/>
        <w:numPr>
          <w:ilvl w:val="1"/>
          <w:numId w:val="56"/>
        </w:numPr>
        <w:spacing w:before="0" w:after="0"/>
        <w:ind w:left="0" w:hanging="0"/>
        <w:rPr>
          <w:color w:val="auto"/>
          <w:sz w:val="20"/>
          <w:szCs w:val="20"/>
        </w:rPr>
      </w:pPr>
      <w:bookmarkStart w:id="0" w:name="art115§5"/>
      <w:bookmarkStart w:id="1" w:name="art115§1"/>
      <w:bookmarkEnd w:id="0"/>
      <w:bookmarkEnd w:id="1"/>
      <w:r>
        <w:rPr>
          <w:color w:val="auto"/>
          <w:sz w:val="20"/>
          <w:szCs w:val="20"/>
        </w:rPr>
        <w:t>Em caso de impedimento, ordem de paralisação ou suspensão do contrato, o cronograma de execução será prorrogado automaticamente pelo tempo correspondente, anotadas tais circunstâncias mediante simples apostila (Lei nº 14.133/2021, art. 115, §5º).</w:t>
      </w:r>
    </w:p>
    <w:p>
      <w:pPr>
        <w:pStyle w:val="Nivel2"/>
        <w:numPr>
          <w:ilvl w:val="1"/>
          <w:numId w:val="57"/>
        </w:numPr>
        <w:spacing w:before="0" w:after="0"/>
        <w:ind w:left="0" w:hanging="0"/>
        <w:rPr>
          <w:color w:val="auto"/>
          <w:sz w:val="20"/>
          <w:szCs w:val="20"/>
        </w:rPr>
      </w:pPr>
      <w:bookmarkStart w:id="2" w:name="art116"/>
      <w:bookmarkEnd w:id="2"/>
      <w:r>
        <w:rPr>
          <w:color w:val="auto"/>
          <w:sz w:val="20"/>
          <w:szCs w:val="20"/>
        </w:rPr>
        <w:t xml:space="preserve">A execução do contrato deverá ser acompanhada e fiscalizada pelo(s) fiscal(is) do contrato, ou pelos respectivos substitutos (Lei nº 14.133/2021, art. 117, </w:t>
      </w:r>
      <w:r>
        <w:rPr>
          <w:i/>
          <w:iCs/>
          <w:color w:val="auto"/>
          <w:sz w:val="20"/>
          <w:szCs w:val="20"/>
        </w:rPr>
        <w:t>caput</w:t>
      </w:r>
      <w:r>
        <w:rPr>
          <w:color w:val="auto"/>
          <w:sz w:val="20"/>
          <w:szCs w:val="20"/>
        </w:rPr>
        <w:t>).</w:t>
      </w:r>
      <w:bookmarkStart w:id="3" w:name="art117§1"/>
      <w:bookmarkEnd w:id="3"/>
    </w:p>
    <w:p>
      <w:pPr>
        <w:pStyle w:val="Nivel3"/>
        <w:numPr>
          <w:ilvl w:val="2"/>
          <w:numId w:val="58"/>
        </w:numPr>
        <w:spacing w:before="0" w:after="0"/>
        <w:ind w:left="425" w:hanging="0"/>
        <w:contextualSpacing/>
        <w:rPr/>
      </w:pPr>
      <w:r>
        <w:rPr/>
        <w:t>O fiscal do contrato anotará em registro próprio todas as ocorrências relacionadas à execução do contrato, determinando o que for necessário para a regularização das faltas ou dos defeitos observados (Lei nº 14.133/2021, art. 117, §1º).</w:t>
      </w:r>
    </w:p>
    <w:p>
      <w:pPr>
        <w:pStyle w:val="Nivel3"/>
        <w:numPr>
          <w:ilvl w:val="2"/>
          <w:numId w:val="59"/>
        </w:numPr>
        <w:spacing w:before="0" w:after="0"/>
        <w:ind w:left="425" w:hanging="0"/>
        <w:contextualSpacing/>
        <w:rPr/>
      </w:pPr>
      <w:bookmarkStart w:id="4" w:name="art117§2"/>
      <w:bookmarkEnd w:id="4"/>
      <w:r>
        <w:rPr/>
        <w:t>O fiscal do contrato informará a seus superiores, em tempo hábil para a adoção das medidas convenientes, a situação que demandar decisão ou providência que ultrapasse sua competência (Lei nº 14.133/2021, art. 117, §2º).</w:t>
      </w:r>
    </w:p>
    <w:p>
      <w:pPr>
        <w:pStyle w:val="Nivel2"/>
        <w:numPr>
          <w:ilvl w:val="1"/>
          <w:numId w:val="60"/>
        </w:numPr>
        <w:spacing w:before="0" w:after="0"/>
        <w:ind w:left="0" w:hanging="0"/>
        <w:rPr>
          <w:color w:val="auto"/>
          <w:sz w:val="20"/>
          <w:szCs w:val="20"/>
        </w:rPr>
      </w:pPr>
      <w:r>
        <w:rPr>
          <w:color w:val="auto"/>
          <w:sz w:val="20"/>
          <w:szCs w:val="20"/>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Nivel2"/>
        <w:numPr>
          <w:ilvl w:val="1"/>
          <w:numId w:val="61"/>
        </w:numPr>
        <w:spacing w:before="0" w:after="0"/>
        <w:ind w:left="0" w:hanging="0"/>
        <w:rPr>
          <w:color w:val="auto"/>
          <w:sz w:val="20"/>
          <w:szCs w:val="20"/>
        </w:rPr>
      </w:pPr>
      <w:bookmarkStart w:id="5" w:name="art120"/>
      <w:bookmarkEnd w:id="5"/>
      <w:r>
        <w:rPr>
          <w:color w:val="auto"/>
          <w:sz w:val="20"/>
          <w:szCs w:val="20"/>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Nivel2"/>
        <w:numPr>
          <w:ilvl w:val="1"/>
          <w:numId w:val="62"/>
        </w:numPr>
        <w:spacing w:before="0" w:after="0"/>
        <w:ind w:left="0" w:hanging="0"/>
        <w:rPr>
          <w:color w:val="auto"/>
          <w:sz w:val="20"/>
          <w:szCs w:val="20"/>
        </w:rPr>
      </w:pPr>
      <w:bookmarkStart w:id="6" w:name="art121"/>
      <w:bookmarkEnd w:id="6"/>
      <w:r>
        <w:rPr>
          <w:color w:val="auto"/>
          <w:sz w:val="20"/>
          <w:szCs w:val="20"/>
        </w:rPr>
        <w:t xml:space="preserve">Somente o contratado será responsável pelos encargos trabalhistas, previdenciários, fiscais e comerciais resultantes da execução do contrato (Lei nº 14.133/2021, art. 121, </w:t>
      </w:r>
      <w:r>
        <w:rPr>
          <w:i/>
          <w:iCs/>
          <w:color w:val="auto"/>
          <w:sz w:val="20"/>
          <w:szCs w:val="20"/>
        </w:rPr>
        <w:t>caput</w:t>
      </w:r>
      <w:r>
        <w:rPr>
          <w:color w:val="auto"/>
          <w:sz w:val="20"/>
          <w:szCs w:val="20"/>
        </w:rPr>
        <w:t>).</w:t>
      </w:r>
    </w:p>
    <w:p>
      <w:pPr>
        <w:pStyle w:val="Nivel3"/>
        <w:numPr>
          <w:ilvl w:val="2"/>
          <w:numId w:val="63"/>
        </w:numPr>
        <w:spacing w:before="0" w:after="0"/>
        <w:ind w:left="425" w:hanging="0"/>
        <w:contextualSpacing/>
        <w:rPr/>
      </w:pPr>
      <w:bookmarkStart w:id="7" w:name="art121§1"/>
      <w:bookmarkEnd w:id="7"/>
      <w:r>
        <w:rPr/>
        <w:t>A inadimplência do contratado em relação aos encargos trabalhistas, fiscais e comerciais não transferirá à Administração a responsabilidade pelo seu pagamento e não poderá onerar o objeto do contrato (Lei nº 14.133/2021, art. 121, §1º).</w:t>
      </w:r>
    </w:p>
    <w:p>
      <w:pPr>
        <w:pStyle w:val="Nivel2"/>
        <w:numPr>
          <w:ilvl w:val="1"/>
          <w:numId w:val="64"/>
        </w:numPr>
        <w:spacing w:before="0" w:after="0"/>
        <w:ind w:left="0" w:hanging="0"/>
        <w:rPr>
          <w:sz w:val="20"/>
          <w:szCs w:val="20"/>
        </w:rPr>
      </w:pPr>
      <w:bookmarkStart w:id="8" w:name="art123"/>
      <w:bookmarkStart w:id="9" w:name="art122§3"/>
      <w:bookmarkStart w:id="10" w:name="art122§2"/>
      <w:bookmarkStart w:id="11" w:name="art122§1"/>
      <w:bookmarkStart w:id="12" w:name="art122"/>
      <w:bookmarkEnd w:id="8"/>
      <w:bookmarkEnd w:id="9"/>
      <w:bookmarkEnd w:id="10"/>
      <w:bookmarkEnd w:id="11"/>
      <w:bookmarkEnd w:id="12"/>
      <w:r>
        <w:rPr>
          <w:sz w:val="20"/>
          <w:szCs w:val="20"/>
        </w:rPr>
        <w:t>As comunicações entre o órgão ou entidade e a contratada devem ser realizadas por escrito sempre que o ato exigir tal formalidade, admitindo-se, excepcionalmente, o uso de mensagem eletrônica para esse fim (IN 5/2017, art. 44, §2º).</w:t>
      </w:r>
    </w:p>
    <w:p>
      <w:pPr>
        <w:pStyle w:val="Nivel2"/>
        <w:numPr>
          <w:ilvl w:val="1"/>
          <w:numId w:val="65"/>
        </w:numPr>
        <w:spacing w:before="0" w:after="0"/>
        <w:ind w:left="0" w:hanging="0"/>
        <w:rPr>
          <w:sz w:val="20"/>
          <w:szCs w:val="20"/>
        </w:rPr>
      </w:pPr>
      <w:r>
        <w:rPr>
          <w:sz w:val="20"/>
          <w:szCs w:val="20"/>
        </w:rPr>
        <w:t>O órgão ou entidade poderá convocar representante da empresa para adoção de providências que devam ser cumpridas de imediato (IN 5/2017, art. 44, 31º).</w:t>
      </w:r>
    </w:p>
    <w:p>
      <w:pPr>
        <w:pStyle w:val="Nivel2"/>
        <w:numPr>
          <w:ilvl w:val="1"/>
          <w:numId w:val="66"/>
        </w:numPr>
        <w:spacing w:before="0" w:after="0"/>
        <w:ind w:left="0" w:hanging="0"/>
        <w:rPr>
          <w:color w:val="000000"/>
        </w:rPr>
      </w:pPr>
      <w:r>
        <w:rPr>
          <w:i/>
          <w:iCs/>
          <w:color w:val="000000"/>
          <w:sz w:val="20"/>
          <w:szCs w:val="20"/>
        </w:rPr>
        <w:t>Após a assinatura do contrato ou instrumento equivalente (nota de empenho)</w:t>
      </w:r>
      <w:r>
        <w:rPr>
          <w:i/>
          <w:iCs/>
          <w:strike/>
          <w:color w:val="000000"/>
          <w:sz w:val="20"/>
          <w:szCs w:val="20"/>
        </w:rPr>
        <w:t>,</w:t>
      </w:r>
      <w:r>
        <w:rPr>
          <w:i/>
          <w:iCs/>
          <w:color w:val="000000"/>
          <w:sz w:val="20"/>
          <w:szCs w:val="20"/>
        </w:rPr>
        <w:t xml:space="preserve"> o órgão ou entidade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(IN 5/2017, art. 44, 31º).</w:t>
      </w:r>
    </w:p>
    <w:p>
      <w:pPr>
        <w:pStyle w:val="Nivel2"/>
        <w:numPr>
          <w:ilvl w:val="1"/>
          <w:numId w:val="67"/>
        </w:numPr>
        <w:spacing w:before="0" w:after="0"/>
        <w:ind w:left="0" w:hanging="0"/>
        <w:rPr>
          <w:sz w:val="20"/>
          <w:szCs w:val="20"/>
        </w:rPr>
      </w:pPr>
      <w:r>
        <w:rPr>
          <w:sz w:val="20"/>
          <w:szCs w:val="20"/>
        </w:rPr>
        <w:t>Antes do pagamento da nota fiscal ou da fatura, deverá ser consultada a situação da empresa junto ao SICAF.</w:t>
      </w:r>
    </w:p>
    <w:p>
      <w:pPr>
        <w:pStyle w:val="Nivel2"/>
        <w:numPr>
          <w:ilvl w:val="1"/>
          <w:numId w:val="68"/>
        </w:numPr>
        <w:spacing w:before="0" w:after="0"/>
        <w:ind w:left="0" w:hanging="0"/>
        <w:rPr>
          <w:sz w:val="20"/>
          <w:szCs w:val="20"/>
        </w:rPr>
      </w:pPr>
      <w:r>
        <w:rPr>
          <w:sz w:val="20"/>
          <w:szCs w:val="20"/>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Nivel2"/>
        <w:numPr>
          <w:ilvl w:val="1"/>
          <w:numId w:val="69"/>
        </w:numPr>
        <w:spacing w:before="0" w:after="0"/>
        <w:ind w:left="0" w:hanging="0"/>
        <w:rPr>
          <w:color w:val="auto"/>
          <w:sz w:val="20"/>
          <w:szCs w:val="20"/>
        </w:rPr>
      </w:pPr>
      <w:r>
        <w:rPr>
          <w:color w:val="auto"/>
          <w:sz w:val="20"/>
          <w:szCs w:val="20"/>
        </w:rPr>
        <w:t>Além do disposto acima, a fiscalização contratual obedecerá às seguintes rotinas:</w:t>
      </w:r>
    </w:p>
    <w:p>
      <w:pPr>
        <w:pStyle w:val="Nivel2"/>
        <w:numPr>
          <w:ilvl w:val="2"/>
          <w:numId w:val="70"/>
        </w:numPr>
        <w:spacing w:before="0" w:after="0"/>
        <w:rPr>
          <w:color w:val="000000"/>
        </w:rPr>
      </w:pPr>
      <w:r>
        <w:rPr>
          <w:i/>
          <w:iCs/>
          <w:color w:val="000000"/>
          <w:sz w:val="20"/>
          <w:szCs w:val="20"/>
        </w:rPr>
        <w:t>A nota fiscal será conferida pelo setor requisitante e uma vez estando corretamente preenchida e emitida, será enviada imediatamente para o Setor Financeiro realizar a liquidação e pagamento;</w:t>
      </w:r>
    </w:p>
    <w:p>
      <w:pPr>
        <w:pStyle w:val="Nivel2"/>
        <w:numPr>
          <w:ilvl w:val="2"/>
          <w:numId w:val="71"/>
        </w:numPr>
        <w:spacing w:before="0" w:after="0"/>
        <w:rPr>
          <w:color w:val="000000"/>
        </w:rPr>
      </w:pPr>
      <w:r>
        <w:rPr>
          <w:i/>
          <w:iCs/>
          <w:color w:val="000000"/>
          <w:sz w:val="20"/>
          <w:szCs w:val="20"/>
        </w:rPr>
        <w:t>O setor financeiro recebendo a nota fiscal atestada pelo almoxarife ou outro militar responsável pelo recebimento do bem, vai conferir a mesma e estando corretamente preenchida e emitida, realizará a liquidação da NF. O pagamento da NF ocorrerá com a chagada do numerário no sistema do SIAFI, onde a tesouraria faz o respectivo pagamento para a empresa contratada.</w:t>
      </w:r>
    </w:p>
    <w:p>
      <w:pPr>
        <w:pStyle w:val="Nivel2"/>
        <w:numPr>
          <w:ilvl w:val="2"/>
          <w:numId w:val="72"/>
        </w:numPr>
        <w:spacing w:before="0" w:after="0"/>
        <w:rPr>
          <w:color w:val="000000"/>
        </w:rPr>
      </w:pPr>
      <w:r>
        <w:rPr>
          <w:i/>
          <w:iCs/>
          <w:color w:val="000000"/>
          <w:sz w:val="20"/>
          <w:szCs w:val="20"/>
        </w:rPr>
        <w:t>Tanto a liquidação e o pagamento somente ocorrerá com a entrega do bem ou bens dentro das especificações contidas neste Termo de Referência, pois se o material não estiver obedecendo a descrição pedida, o mesmo será devolvido para a empresa substituir, conforme dito anteriomente.</w:t>
      </w:r>
    </w:p>
    <w:p>
      <w:pPr>
        <w:pStyle w:val="Nivel2"/>
        <w:numPr>
          <w:ilvl w:val="0"/>
          <w:numId w:val="0"/>
        </w:numPr>
        <w:spacing w:before="0" w:after="0"/>
        <w:ind w:left="930" w:hanging="0"/>
        <w:rPr>
          <w:i/>
          <w:i/>
          <w:iCs/>
          <w:color w:val="FF0000"/>
          <w:sz w:val="20"/>
          <w:szCs w:val="20"/>
        </w:rPr>
      </w:pPr>
      <w:r>
        <w:rPr>
          <w:i/>
          <w:iCs/>
          <w:color w:val="FF0000"/>
          <w:sz w:val="20"/>
          <w:szCs w:val="20"/>
        </w:rPr>
      </w:r>
    </w:p>
    <w:p>
      <w:pPr>
        <w:pStyle w:val="Nivel1"/>
        <w:numPr>
          <w:ilvl w:val="0"/>
          <w:numId w:val="1"/>
        </w:numPr>
        <w:spacing w:before="0" w:after="0"/>
        <w:rPr>
          <w:color w:val="000000"/>
        </w:rPr>
      </w:pPr>
      <w:r>
        <w:rPr>
          <w:i/>
          <w:iCs/>
          <w:color w:val="000000"/>
          <w:sz w:val="20"/>
          <w:szCs w:val="20"/>
        </w:rPr>
        <w:t xml:space="preserve">FORMA E CRITÉRIOS DE SELEÇÃO DO FORNECEDOR MEDIANTE O USO DO SISTEMA DE DISPENSA ELETRÔNICA (art. 6º, inciso XXIII, alínea ‘h’, da Lei nº 14.133/2021) </w:t>
      </w:r>
    </w:p>
    <w:p>
      <w:pPr>
        <w:pStyle w:val="Nivel2"/>
        <w:numPr>
          <w:ilvl w:val="1"/>
          <w:numId w:val="73"/>
        </w:numPr>
        <w:spacing w:before="0" w:after="0"/>
        <w:ind w:left="0" w:hanging="0"/>
        <w:rPr>
          <w:color w:val="000000"/>
        </w:rPr>
      </w:pPr>
      <w:r>
        <w:rPr>
          <w:i/>
          <w:iCs/>
          <w:color w:val="000000"/>
          <w:sz w:val="20"/>
          <w:szCs w:val="20"/>
        </w:rPr>
        <w:t xml:space="preserve">O fornecedor será selecionado por meio da realização de procedimento de dispensa de licitação, na forma eletrônica, com fundamento na hipótese do art. 75, inciso II da Lei nº 14.133/2021, que culminará com a seleção da proposta de menor preço. </w:t>
      </w:r>
    </w:p>
    <w:p>
      <w:pPr>
        <w:pStyle w:val="Nivel2"/>
        <w:numPr>
          <w:ilvl w:val="1"/>
          <w:numId w:val="1"/>
        </w:numPr>
        <w:spacing w:before="0" w:after="0"/>
        <w:ind w:left="0" w:hanging="0"/>
        <w:rPr>
          <w:color w:val="000000"/>
        </w:rPr>
      </w:pPr>
      <w:r>
        <w:rPr>
          <w:rFonts w:eastAsia="Times New Roman"/>
          <w:i/>
          <w:iCs/>
          <w:color w:val="000000"/>
          <w:sz w:val="20"/>
          <w:szCs w:val="20"/>
          <w:lang w:eastAsia="pt-BR"/>
        </w:rPr>
        <w:t xml:space="preserve">As exigências de habilitação jurídica, </w:t>
      </w:r>
      <w:r>
        <w:rPr>
          <w:rFonts w:eastAsia="WenQuanYi Micro Hei"/>
          <w:i/>
          <w:iCs/>
          <w:color w:val="000000"/>
          <w:sz w:val="20"/>
          <w:szCs w:val="20"/>
          <w:lang w:eastAsia="zh-CN" w:bidi="hi-IN"/>
        </w:rPr>
        <w:t xml:space="preserve">fiscal, social e trabalhista </w:t>
      </w:r>
      <w:r>
        <w:rPr>
          <w:rFonts w:eastAsia="Times New Roman"/>
          <w:i/>
          <w:iCs/>
          <w:color w:val="000000"/>
          <w:sz w:val="20"/>
          <w:szCs w:val="20"/>
          <w:lang w:eastAsia="pt-BR"/>
        </w:rPr>
        <w:t xml:space="preserve">são as usuais para a generalidade dos objetos, conforme disciplinado no Anexo I do Aviso de </w:t>
      </w:r>
      <w:r>
        <w:rPr>
          <w:i/>
          <w:iCs/>
          <w:color w:val="000000"/>
          <w:sz w:val="20"/>
          <w:szCs w:val="20"/>
        </w:rPr>
        <w:t>Contratação</w:t>
      </w:r>
      <w:r>
        <w:rPr>
          <w:rFonts w:eastAsia="Times New Roman"/>
          <w:i/>
          <w:iCs/>
          <w:color w:val="000000"/>
          <w:sz w:val="20"/>
          <w:szCs w:val="20"/>
          <w:lang w:eastAsia="pt-BR"/>
        </w:rPr>
        <w:t xml:space="preserve"> Direta.</w:t>
      </w:r>
    </w:p>
    <w:p>
      <w:pPr>
        <w:pStyle w:val="Nivel2"/>
        <w:numPr>
          <w:ilvl w:val="1"/>
          <w:numId w:val="1"/>
        </w:numPr>
        <w:spacing w:before="0" w:after="0"/>
        <w:ind w:left="0" w:hanging="0"/>
        <w:rPr>
          <w:color w:val="000000"/>
        </w:rPr>
      </w:pPr>
      <w:r>
        <w:rPr>
          <w:rFonts w:eastAsia="Times New Roman"/>
          <w:i/>
          <w:iCs/>
          <w:color w:val="000000"/>
          <w:sz w:val="20"/>
          <w:szCs w:val="20"/>
          <w:lang w:eastAsia="pt-BR"/>
        </w:rPr>
        <w:t>Os critérios de habilitação econômico-financeira a serem atendidos pelo fornecedor estão previstos no Anexo I do Aviso de Contratação Direta.</w:t>
      </w:r>
    </w:p>
    <w:p>
      <w:pPr>
        <w:pStyle w:val="Nivel2"/>
        <w:numPr>
          <w:ilvl w:val="1"/>
          <w:numId w:val="1"/>
        </w:numPr>
        <w:spacing w:before="0" w:after="0"/>
        <w:ind w:left="0" w:hanging="0"/>
        <w:rPr>
          <w:color w:val="000000"/>
        </w:rPr>
      </w:pPr>
      <w:r>
        <w:rPr>
          <w:rFonts w:eastAsia="Times New Roman"/>
          <w:i/>
          <w:iCs/>
          <w:color w:val="000000"/>
          <w:sz w:val="20"/>
          <w:szCs w:val="20"/>
          <w:lang w:eastAsia="pt-BR"/>
        </w:rPr>
        <w:t>Os critérios de habilitação técnica a serem atendidos pelo fornecedor serão:</w:t>
      </w:r>
      <w:bookmarkStart w:id="13" w:name="_Hlk101768009"/>
      <w:bookmarkEnd w:id="13"/>
    </w:p>
    <w:p>
      <w:pPr>
        <w:pStyle w:val="Nivel2"/>
        <w:numPr>
          <w:ilvl w:val="2"/>
          <w:numId w:val="1"/>
        </w:numPr>
        <w:spacing w:before="0" w:after="0"/>
        <w:rPr>
          <w:color w:val="000000"/>
        </w:rPr>
      </w:pPr>
      <w:r>
        <w:rPr>
          <w:i/>
          <w:iCs/>
          <w:color w:val="000000"/>
          <w:sz w:val="20"/>
          <w:szCs w:val="20"/>
        </w:rPr>
        <w:t>Comprovação</w:t>
      </w:r>
      <w:r>
        <w:rPr>
          <w:rFonts w:eastAsia="Times New Roman"/>
          <w:i/>
          <w:iCs/>
          <w:color w:val="000000"/>
          <w:sz w:val="20"/>
          <w:szCs w:val="20"/>
          <w:lang w:eastAsia="pt-BR"/>
        </w:rPr>
        <w:t xml:space="preserve">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ivel2"/>
        <w:numPr>
          <w:ilvl w:val="3"/>
          <w:numId w:val="1"/>
        </w:numPr>
        <w:spacing w:before="0" w:after="0"/>
        <w:rPr>
          <w:color w:val="000000"/>
        </w:rPr>
      </w:pPr>
      <w:r>
        <w:rPr>
          <w:i/>
          <w:iCs/>
          <w:color w:val="000000"/>
          <w:sz w:val="20"/>
          <w:szCs w:val="20"/>
        </w:rPr>
        <w:t xml:space="preserve">Para fins da comprovação de que trata este subitem, os atestados deverão dizer respeito a contratos executados com as seguintes características mínimas: </w:t>
      </w:r>
    </w:p>
    <w:p>
      <w:pPr>
        <w:pStyle w:val="ListParagraph"/>
        <w:numPr>
          <w:ilvl w:val="0"/>
          <w:numId w:val="2"/>
        </w:numPr>
        <w:spacing w:lineRule="auto" w:line="276" w:before="120" w:after="120"/>
        <w:contextualSpacing/>
        <w:jc w:val="both"/>
        <w:rPr>
          <w:color w:val="000000"/>
        </w:rPr>
      </w:pPr>
      <w:r>
        <w:rPr>
          <w:rFonts w:cs="Arial" w:ascii="Arial" w:hAnsi="Arial"/>
          <w:i/>
          <w:iCs/>
          <w:color w:val="000000"/>
          <w:sz w:val="20"/>
          <w:szCs w:val="20"/>
        </w:rPr>
        <w:t>Ter fornecido pelo menos uma unidade do material fruto da presente dispensa eletrônica;</w:t>
      </w:r>
    </w:p>
    <w:p>
      <w:pPr>
        <w:pStyle w:val="ListParagraph"/>
        <w:numPr>
          <w:ilvl w:val="0"/>
          <w:numId w:val="2"/>
        </w:numPr>
        <w:spacing w:lineRule="auto" w:line="276" w:before="120" w:after="120"/>
        <w:contextualSpacing/>
        <w:jc w:val="both"/>
        <w:rPr>
          <w:color w:val="000000"/>
        </w:rPr>
      </w:pPr>
      <w:r>
        <w:rPr>
          <w:rFonts w:cs="Arial" w:ascii="Arial" w:hAnsi="Arial"/>
          <w:i/>
          <w:iCs/>
          <w:color w:val="000000"/>
          <w:sz w:val="20"/>
          <w:szCs w:val="20"/>
        </w:rPr>
        <w:t>O tipo de material ser igual ou, pelo menos, compatível com o solicitado neste Termo de Referência.</w:t>
      </w:r>
    </w:p>
    <w:p>
      <w:pPr>
        <w:pStyle w:val="Nivel2"/>
        <w:numPr>
          <w:ilvl w:val="3"/>
          <w:numId w:val="1"/>
        </w:numPr>
        <w:spacing w:before="0" w:after="0"/>
        <w:rPr/>
      </w:pPr>
      <w:r>
        <w:rPr>
          <w:i/>
          <w:iCs/>
          <w:color w:val="000000"/>
          <w:sz w:val="20"/>
          <w:szCs w:val="20"/>
        </w:rPr>
        <w:t>Será admitida, para fins de comprovação de quantitativo mínimo, a apresentação e o somatório de diferentes atestados executados de forma concomitante.</w:t>
      </w:r>
    </w:p>
    <w:p>
      <w:pPr>
        <w:pStyle w:val="Nivel2"/>
        <w:numPr>
          <w:ilvl w:val="0"/>
          <w:numId w:val="0"/>
        </w:numPr>
        <w:spacing w:before="0" w:after="0"/>
        <w:ind w:left="2491" w:hanging="0"/>
        <w:rPr>
          <w:rFonts w:cs="Arial"/>
          <w:bCs/>
          <w:i w:val="false"/>
          <w:i w:val="false"/>
          <w:iCs/>
          <w:color w:val="000000"/>
          <w:sz w:val="20"/>
          <w:szCs w:val="20"/>
        </w:rPr>
      </w:pPr>
      <w:r>
        <w:rPr>
          <w:rFonts w:cs="Arial"/>
          <w:bCs/>
          <w:i w:val="false"/>
          <w:iCs/>
          <w:color w:val="000000"/>
          <w:sz w:val="20"/>
          <w:szCs w:val="20"/>
        </w:rPr>
      </w:r>
    </w:p>
    <w:p>
      <w:pPr>
        <w:pStyle w:val="Nivel2"/>
        <w:numPr>
          <w:ilvl w:val="2"/>
          <w:numId w:val="1"/>
        </w:numPr>
        <w:spacing w:before="0" w:after="0"/>
        <w:rPr/>
      </w:pPr>
      <w:r>
        <w:rPr>
          <w:i/>
          <w:iCs/>
          <w:color w:val="000000"/>
          <w:sz w:val="20"/>
          <w:szCs w:val="20"/>
        </w:rPr>
        <w:t>Os atestados de capacidade técnica poderão ser apresentados em nome da matriz ou da filial do fornecedor.</w:t>
      </w:r>
    </w:p>
    <w:p>
      <w:pPr>
        <w:pStyle w:val="Nivel2"/>
        <w:numPr>
          <w:ilvl w:val="0"/>
          <w:numId w:val="0"/>
        </w:numPr>
        <w:spacing w:before="0" w:after="0"/>
        <w:ind w:left="930" w:hanging="0"/>
        <w:rPr>
          <w:i/>
          <w:i/>
          <w:iCs/>
          <w:color w:val="000000"/>
          <w:sz w:val="20"/>
          <w:szCs w:val="20"/>
        </w:rPr>
      </w:pPr>
      <w:r>
        <w:rPr>
          <w:i/>
          <w:iCs/>
          <w:color w:val="000000"/>
          <w:sz w:val="20"/>
          <w:szCs w:val="20"/>
        </w:rPr>
      </w:r>
    </w:p>
    <w:p>
      <w:pPr>
        <w:pStyle w:val="Nivel2"/>
        <w:numPr>
          <w:ilvl w:val="2"/>
          <w:numId w:val="1"/>
        </w:numPr>
        <w:spacing w:before="0" w:after="0"/>
        <w:rPr>
          <w:bCs/>
          <w:i/>
          <w:i/>
          <w:color w:val="FF0000"/>
          <w:sz w:val="20"/>
          <w:szCs w:val="20"/>
        </w:rPr>
      </w:pPr>
      <w:r>
        <w:rPr>
          <w:bCs/>
          <w:i/>
          <w:color w:val="FF0000"/>
          <w:sz w:val="20"/>
          <w:szCs w:val="20"/>
        </w:rPr>
        <w:t xml:space="preserve"> </w:t>
      </w:r>
      <w:r>
        <w:rPr>
          <w:bCs/>
          <w:i/>
          <w:color w:val="000000"/>
          <w:sz w:val="20"/>
          <w:szCs w:val="20"/>
        </w:rPr>
        <w:t xml:space="preserve">O fornecedor </w:t>
      </w:r>
      <w:r>
        <w:rPr>
          <w:i/>
          <w:color w:val="000000"/>
          <w:sz w:val="20"/>
          <w:szCs w:val="20"/>
        </w:rPr>
        <w:t>disponibilizará</w:t>
      </w:r>
      <w:r>
        <w:rPr>
          <w:bCs/>
          <w:i/>
          <w:color w:val="000000"/>
          <w:sz w:val="20"/>
          <w:szCs w:val="20"/>
        </w:rPr>
        <w:t xml:space="preserve"> todas as informações necessárias à </w:t>
      </w:r>
      <w:r>
        <w:rPr>
          <w:i/>
          <w:color w:val="000000"/>
          <w:sz w:val="20"/>
          <w:szCs w:val="20"/>
        </w:rPr>
        <w:t>comprovação</w:t>
      </w:r>
      <w:r>
        <w:rPr>
          <w:bCs/>
          <w:i/>
          <w:color w:val="000000"/>
          <w:sz w:val="20"/>
          <w:szCs w:val="20"/>
        </w:rPr>
        <w:t xml:space="preserve"> da legitimidade dos atestados, apresentando, quando solicitado pela Administração, </w:t>
      </w:r>
      <w:r>
        <w:rPr>
          <w:i/>
          <w:color w:val="000000"/>
          <w:sz w:val="20"/>
          <w:szCs w:val="20"/>
        </w:rPr>
        <w:t>cópia</w:t>
      </w:r>
      <w:r>
        <w:rPr>
          <w:bCs/>
          <w:i/>
          <w:color w:val="000000"/>
          <w:sz w:val="20"/>
          <w:szCs w:val="20"/>
        </w:rPr>
        <w:t xml:space="preserve"> do contrato que deu suporte à contratação, endereço atual da contratante e local em que foi executado o objeto contratado, dentre outros documentos.</w:t>
      </w:r>
    </w:p>
    <w:p>
      <w:pPr>
        <w:pStyle w:val="Nivel2"/>
        <w:numPr>
          <w:ilvl w:val="0"/>
          <w:numId w:val="0"/>
        </w:numPr>
        <w:spacing w:before="0" w:after="0"/>
        <w:ind w:left="930" w:hanging="0"/>
        <w:rPr>
          <w:bCs/>
          <w:i/>
          <w:i/>
          <w:color w:val="FF0000"/>
          <w:sz w:val="20"/>
          <w:szCs w:val="20"/>
        </w:rPr>
      </w:pPr>
      <w:r>
        <w:rPr/>
      </w:r>
    </w:p>
    <w:p>
      <w:pPr>
        <w:pStyle w:val="Nivel1"/>
        <w:keepNext w:val="true"/>
        <w:keepLines/>
        <w:widowControl/>
        <w:numPr>
          <w:ilvl w:val="0"/>
          <w:numId w:val="0"/>
        </w:numPr>
        <w:bidi w:val="0"/>
        <w:spacing w:lineRule="auto" w:line="276" w:before="0" w:after="0"/>
        <w:ind w:left="-37" w:right="0" w:hanging="0"/>
        <w:jc w:val="both"/>
        <w:rPr>
          <w:color w:val="000000"/>
        </w:rPr>
      </w:pPr>
      <w:r>
        <w:rPr>
          <w:color w:val="000000"/>
          <w:sz w:val="20"/>
          <w:szCs w:val="20"/>
        </w:rPr>
        <w:t xml:space="preserve">8. FORMA E CRITÉRIOS DE SELEÇÃO DO FORNECEDOR (art. 6º, inciso XXIII, alínea ‘h’, da Lei nº 14.133/2021) </w:t>
      </w:r>
    </w:p>
    <w:p>
      <w:pPr>
        <w:pStyle w:val="Nivel2"/>
        <w:widowControl/>
        <w:numPr>
          <w:ilvl w:val="0"/>
          <w:numId w:val="0"/>
        </w:numPr>
        <w:suppressAutoHyphens w:val="true"/>
        <w:bidi w:val="0"/>
        <w:spacing w:lineRule="auto" w:line="276" w:before="0" w:after="0"/>
        <w:ind w:left="0" w:right="0" w:hanging="0"/>
        <w:jc w:val="both"/>
        <w:rPr>
          <w:color w:val="000000"/>
        </w:rPr>
      </w:pPr>
      <w:r>
        <w:rPr>
          <w:i/>
          <w:color w:val="000000"/>
          <w:sz w:val="20"/>
          <w:szCs w:val="20"/>
        </w:rPr>
        <w:t>8.1. O fornecedor será selecionado por meio da realização de procedimento de dispensa de licitação, com fundamento na hipótese do art. 75, inciso II, da Lei nº 14.133/2021</w:t>
      </w:r>
      <w:r>
        <w:rPr>
          <w:i/>
          <w:iCs/>
          <w:color w:val="000000"/>
          <w:sz w:val="20"/>
          <w:szCs w:val="20"/>
        </w:rPr>
        <w:t>.</w:t>
      </w:r>
    </w:p>
    <w:p>
      <w:pPr>
        <w:pStyle w:val="Nivel2"/>
        <w:widowControl/>
        <w:numPr>
          <w:ilvl w:val="0"/>
          <w:numId w:val="0"/>
        </w:numPr>
        <w:suppressAutoHyphens w:val="true"/>
        <w:bidi w:val="0"/>
        <w:spacing w:lineRule="auto" w:line="276" w:before="0" w:after="0"/>
        <w:ind w:left="0" w:right="0" w:hanging="0"/>
        <w:jc w:val="both"/>
        <w:rPr>
          <w:color w:val="000000"/>
        </w:rPr>
      </w:pPr>
      <w:r>
        <w:rPr>
          <w:color w:val="000000"/>
        </w:rPr>
      </w:r>
    </w:p>
    <w:p>
      <w:pPr>
        <w:pStyle w:val="Nivel2"/>
        <w:widowControl/>
        <w:numPr>
          <w:ilvl w:val="0"/>
          <w:numId w:val="0"/>
        </w:numPr>
        <w:suppressAutoHyphens w:val="true"/>
        <w:bidi w:val="0"/>
        <w:spacing w:lineRule="auto" w:line="276" w:before="0" w:after="0"/>
        <w:ind w:left="0" w:right="0" w:hanging="0"/>
        <w:jc w:val="both"/>
        <w:rPr>
          <w:color w:val="000000"/>
        </w:rPr>
      </w:pPr>
      <w:r>
        <w:rPr>
          <w:i/>
          <w:iCs/>
          <w:color w:val="000000"/>
          <w:sz w:val="20"/>
          <w:szCs w:val="20"/>
        </w:rPr>
        <w:t>8.2. HABILITAÇÃO JURÍDICA:</w:t>
      </w:r>
    </w:p>
    <w:p>
      <w:pPr>
        <w:pStyle w:val="Normal"/>
        <w:numPr>
          <w:ilvl w:val="0"/>
          <w:numId w:val="0"/>
        </w:numPr>
        <w:spacing w:lineRule="auto" w:line="276" w:before="120" w:after="120"/>
        <w:ind w:left="930" w:hanging="0"/>
        <w:jc w:val="both"/>
        <w:rPr>
          <w:color w:val="000000"/>
        </w:rPr>
      </w:pPr>
      <w:r>
        <w:rPr>
          <w:rFonts w:cs="Arial" w:ascii="Arial" w:hAnsi="Arial"/>
          <w:i/>
          <w:color w:val="000000"/>
          <w:sz w:val="20"/>
          <w:szCs w:val="20"/>
        </w:rPr>
        <w:t xml:space="preserve">8.2.1. prova </w:t>
      </w:r>
      <w:r>
        <w:rPr>
          <w:rFonts w:cs="Arial" w:ascii="Arial" w:hAnsi="Arial"/>
          <w:i/>
          <w:iCs/>
          <w:color w:val="000000"/>
          <w:sz w:val="20"/>
          <w:szCs w:val="20"/>
        </w:rPr>
        <w:t>de</w:t>
      </w:r>
      <w:r>
        <w:rPr>
          <w:rFonts w:cs="Arial" w:ascii="Arial" w:hAnsi="Arial"/>
          <w:i/>
          <w:color w:val="000000"/>
          <w:sz w:val="20"/>
          <w:szCs w:val="20"/>
        </w:rPr>
        <w:t xml:space="preserve"> inscrição no Cadastro Nacional da Pessoa Jurídica (CNPJ);</w:t>
      </w:r>
    </w:p>
    <w:p>
      <w:pPr>
        <w:pStyle w:val="Normal"/>
        <w:numPr>
          <w:ilvl w:val="0"/>
          <w:numId w:val="0"/>
        </w:numPr>
        <w:spacing w:lineRule="auto" w:line="276" w:before="120" w:after="120"/>
        <w:ind w:left="930" w:hanging="0"/>
        <w:jc w:val="both"/>
        <w:rPr>
          <w:color w:val="000000"/>
        </w:rPr>
      </w:pPr>
      <w:r>
        <w:rPr>
          <w:rFonts w:cs="Arial" w:ascii="Arial" w:hAnsi="Arial"/>
          <w:i/>
          <w:color w:val="000000"/>
          <w:sz w:val="20"/>
          <w:szCs w:val="20"/>
        </w:rPr>
        <w:t>8.2.2.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0"/>
          <w:numId w:val="0"/>
        </w:numPr>
        <w:spacing w:lineRule="auto" w:line="276" w:before="120" w:after="120"/>
        <w:ind w:left="930" w:hanging="0"/>
        <w:jc w:val="both"/>
        <w:rPr>
          <w:color w:val="000000"/>
        </w:rPr>
      </w:pPr>
      <w:r>
        <w:rPr>
          <w:rFonts w:cs="Arial" w:ascii="Arial" w:hAnsi="Arial"/>
          <w:i/>
          <w:color w:val="000000"/>
          <w:sz w:val="20"/>
          <w:szCs w:val="20"/>
        </w:rPr>
        <w:t>8.2.3. prova de regularidade com o Fundo de Garantia do Tempo de Serviço (FGTS);</w:t>
      </w:r>
    </w:p>
    <w:p>
      <w:pPr>
        <w:pStyle w:val="Normal"/>
        <w:numPr>
          <w:ilvl w:val="0"/>
          <w:numId w:val="0"/>
        </w:numPr>
        <w:spacing w:lineRule="auto" w:line="276" w:before="120" w:after="120"/>
        <w:ind w:left="930" w:hanging="0"/>
        <w:jc w:val="both"/>
        <w:rPr>
          <w:color w:val="000000"/>
        </w:rPr>
      </w:pPr>
      <w:r>
        <w:rPr>
          <w:rFonts w:cs="Arial" w:ascii="Arial" w:hAnsi="Arial"/>
          <w:i/>
          <w:color w:val="000000"/>
          <w:sz w:val="20"/>
          <w:szCs w:val="20"/>
        </w:rPr>
        <w:t>8.2.4. declaração de que não emprega menor de 18 anos em trabalho noturno, perigoso ou insalubre e não emprega menor de 16 anos, salvo menor, a partir de 14 anos, na condição de aprendiz, nos termos do artigo 7°, XXXIII, da Constituição;</w:t>
      </w:r>
    </w:p>
    <w:p>
      <w:pPr>
        <w:pStyle w:val="Normal"/>
        <w:numPr>
          <w:ilvl w:val="0"/>
          <w:numId w:val="0"/>
        </w:numPr>
        <w:spacing w:lineRule="auto" w:line="276" w:before="120" w:after="120"/>
        <w:ind w:left="930" w:hanging="0"/>
        <w:jc w:val="both"/>
        <w:rPr>
          <w:color w:val="000000"/>
        </w:rPr>
      </w:pPr>
      <w:r>
        <w:rPr>
          <w:rFonts w:cs="Arial" w:ascii="Arial" w:hAnsi="Arial"/>
          <w:i/>
          <w:color w:val="000000"/>
          <w:sz w:val="20"/>
          <w:szCs w:val="20"/>
        </w:rPr>
        <w:t>8.2.5.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0"/>
          <w:numId w:val="0"/>
        </w:numPr>
        <w:spacing w:lineRule="auto" w:line="276" w:before="120" w:after="120"/>
        <w:ind w:left="930" w:hanging="0"/>
        <w:jc w:val="both"/>
        <w:rPr>
          <w:color w:val="000000"/>
        </w:rPr>
      </w:pPr>
      <w:r>
        <w:rPr>
          <w:rFonts w:cs="Arial" w:ascii="Arial" w:hAnsi="Arial"/>
          <w:i/>
          <w:color w:val="000000"/>
          <w:sz w:val="20"/>
          <w:szCs w:val="20"/>
        </w:rPr>
        <w:t xml:space="preserve">8.2.6. prova de inscrição no cadastro de contribuintes estadual, se houver, relativo ao domicílio ou sede do fornecedor, pertinente ao seu ramo de atividade e compatível com o objeto contratual; </w:t>
      </w:r>
    </w:p>
    <w:p>
      <w:pPr>
        <w:pStyle w:val="Normal"/>
        <w:widowControl/>
        <w:numPr>
          <w:ilvl w:val="0"/>
          <w:numId w:val="0"/>
        </w:numPr>
        <w:suppressAutoHyphens w:val="true"/>
        <w:bidi w:val="0"/>
        <w:spacing w:lineRule="auto" w:line="276" w:before="120" w:after="120"/>
        <w:ind w:left="1837" w:right="0" w:hanging="0"/>
        <w:jc w:val="both"/>
        <w:rPr>
          <w:color w:val="000000"/>
        </w:rPr>
      </w:pPr>
      <w:r>
        <w:rPr>
          <w:rFonts w:cs="Arial" w:ascii="Arial" w:hAnsi="Arial"/>
          <w:i/>
          <w:color w:val="000000"/>
          <w:sz w:val="20"/>
          <w:szCs w:val="20"/>
        </w:rPr>
        <w:t>8.2.6.1. O fornecedor enquadrado como microempreendedor individual que pretenda auferir os benefícios do tratamento diferenciado previstos na Lei Complementar nº 123, de 2006, estará dispensado da prova de inscrição nos cadastros de contribuintes estadual e municipal.</w:t>
      </w:r>
    </w:p>
    <w:p>
      <w:pPr>
        <w:pStyle w:val="Normal"/>
        <w:numPr>
          <w:ilvl w:val="0"/>
          <w:numId w:val="0"/>
        </w:numPr>
        <w:spacing w:lineRule="auto" w:line="276" w:before="120" w:after="120"/>
        <w:ind w:left="930" w:hanging="0"/>
        <w:jc w:val="both"/>
        <w:rPr>
          <w:color w:val="000000"/>
        </w:rPr>
      </w:pPr>
      <w:r>
        <w:rPr>
          <w:rFonts w:cs="Arial" w:ascii="Arial" w:hAnsi="Arial"/>
          <w:i/>
          <w:color w:val="000000"/>
          <w:sz w:val="20"/>
          <w:szCs w:val="20"/>
        </w:rPr>
        <w:t xml:space="preserve">8.2.7. prova de regularidade com a Fazenda Estadual ou Distrital do domicílio ou sede do fornecedor, relativa à atividade em cujo exercício contrata ou concorre; </w:t>
      </w:r>
    </w:p>
    <w:p>
      <w:pPr>
        <w:pStyle w:val="Normal"/>
        <w:widowControl/>
        <w:numPr>
          <w:ilvl w:val="0"/>
          <w:numId w:val="0"/>
        </w:numPr>
        <w:suppressAutoHyphens w:val="true"/>
        <w:bidi w:val="0"/>
        <w:spacing w:lineRule="auto" w:line="276" w:before="120" w:after="120"/>
        <w:ind w:left="1871" w:right="0" w:hanging="0"/>
        <w:jc w:val="both"/>
        <w:rPr>
          <w:rFonts w:ascii="Arial" w:hAnsi="Arial" w:cs="Arial"/>
          <w:i/>
          <w:i/>
          <w:color w:val="FF0000"/>
          <w:sz w:val="20"/>
          <w:szCs w:val="20"/>
        </w:rPr>
      </w:pPr>
      <w:r>
        <w:rPr>
          <w:rFonts w:cs="Arial" w:ascii="Arial" w:hAnsi="Arial"/>
          <w:i/>
          <w:color w:val="000000"/>
          <w:sz w:val="20"/>
          <w:szCs w:val="20"/>
        </w:rPr>
        <w:t>8.2.7.1. caso o fornecedor seja considerado isento dos tributos estaduais ou distritais relacionados ao objeto, deverá comprovar tal condição mediante a apresentação de certidão ou declaração da Fazenda respectiva do seu domicílio ou sede, ou por meio de outro documento equivalente, na forma da respectiva legislação de regência</w:t>
      </w:r>
      <w:r>
        <w:rPr>
          <w:rFonts w:cs="Arial" w:ascii="Arial" w:hAnsi="Arial"/>
          <w:i/>
          <w:color w:val="FF0000"/>
          <w:sz w:val="20"/>
          <w:szCs w:val="20"/>
        </w:rPr>
        <w:t>.</w:t>
      </w:r>
    </w:p>
    <w:p>
      <w:pPr>
        <w:pStyle w:val="Normal"/>
        <w:numPr>
          <w:ilvl w:val="0"/>
          <w:numId w:val="0"/>
        </w:numPr>
        <w:spacing w:lineRule="auto" w:line="276" w:before="120" w:after="120"/>
        <w:ind w:left="857" w:hanging="0"/>
        <w:jc w:val="both"/>
        <w:rPr>
          <w:rFonts w:ascii="Arial" w:hAnsi="Arial" w:cs="Arial"/>
          <w:i/>
          <w:i/>
          <w:iCs/>
          <w:color w:val="FF0000"/>
          <w:sz w:val="20"/>
          <w:szCs w:val="20"/>
          <w:highlight w:val="green"/>
        </w:rPr>
      </w:pPr>
      <w:r>
        <w:rPr>
          <w:rFonts w:cs="Arial" w:ascii="Arial" w:hAnsi="Arial"/>
          <w:i/>
          <w:iCs/>
          <w:color w:val="FF0000"/>
          <w:sz w:val="20"/>
          <w:szCs w:val="20"/>
          <w:highlight w:val="green"/>
        </w:rPr>
      </w:r>
    </w:p>
    <w:p>
      <w:pPr>
        <w:pStyle w:val="Nivel1"/>
        <w:keepNext w:val="true"/>
        <w:keepLines/>
        <w:widowControl/>
        <w:numPr>
          <w:ilvl w:val="0"/>
          <w:numId w:val="0"/>
        </w:numPr>
        <w:suppressAutoHyphens w:val="true"/>
        <w:bidi w:val="0"/>
        <w:spacing w:lineRule="auto" w:line="276" w:before="0" w:after="0"/>
        <w:ind w:left="20" w:right="0" w:hanging="0"/>
        <w:jc w:val="both"/>
        <w:rPr>
          <w:sz w:val="20"/>
          <w:szCs w:val="20"/>
        </w:rPr>
      </w:pPr>
      <w:r>
        <w:rPr>
          <w:sz w:val="20"/>
          <w:szCs w:val="20"/>
        </w:rPr>
        <w:t xml:space="preserve">9. ADEQUAÇÃO ORÇAMENTÁRIA </w:t>
      </w:r>
    </w:p>
    <w:p>
      <w:pPr>
        <w:pStyle w:val="ListParagraph"/>
        <w:widowControl/>
        <w:numPr>
          <w:ilvl w:val="0"/>
          <w:numId w:val="0"/>
        </w:numPr>
        <w:suppressAutoHyphens w:val="true"/>
        <w:bidi w:val="0"/>
        <w:spacing w:lineRule="auto" w:line="276" w:before="0" w:after="0"/>
        <w:ind w:left="964" w:right="0" w:hanging="0"/>
        <w:contextualSpacing/>
        <w:jc w:val="both"/>
        <w:rPr>
          <w:rFonts w:ascii="Arial" w:hAnsi="Arial" w:cs="Arial"/>
          <w:i/>
          <w:i/>
          <w:iCs/>
          <w:color w:val="FF0000"/>
          <w:sz w:val="20"/>
          <w:szCs w:val="20"/>
        </w:rPr>
      </w:pPr>
      <w:r>
        <w:rPr>
          <w:rFonts w:cs="Arial" w:ascii="Arial" w:hAnsi="Arial"/>
          <w:sz w:val="20"/>
          <w:szCs w:val="20"/>
        </w:rPr>
        <w:t>9.1. As despesas decorrentes da presente contratação correrão à conta de recursos específicos consignados no Orçamento Geral da União.</w:t>
      </w:r>
    </w:p>
    <w:p>
      <w:pPr>
        <w:pStyle w:val="ListParagraph"/>
        <w:spacing w:lineRule="auto" w:line="276" w:before="0" w:after="0"/>
        <w:ind w:left="716" w:hanging="0"/>
        <w:contextualSpacing/>
        <w:jc w:val="both"/>
        <w:rPr>
          <w:rFonts w:ascii="Arial" w:hAnsi="Arial" w:cs="Arial"/>
          <w:i/>
          <w:i/>
          <w:iCs/>
          <w:color w:val="FF0000"/>
          <w:sz w:val="20"/>
          <w:szCs w:val="20"/>
        </w:rPr>
      </w:pPr>
      <w:r>
        <w:rPr>
          <w:rFonts w:cs="Arial" w:ascii="Arial" w:hAnsi="Arial"/>
          <w:i/>
          <w:iCs/>
          <w:color w:val="FF0000"/>
          <w:sz w:val="20"/>
          <w:szCs w:val="20"/>
        </w:rPr>
      </w:r>
    </w:p>
    <w:p>
      <w:pPr>
        <w:pStyle w:val="ListParagraph"/>
        <w:widowControl/>
        <w:numPr>
          <w:ilvl w:val="0"/>
          <w:numId w:val="0"/>
        </w:numPr>
        <w:suppressAutoHyphens w:val="true"/>
        <w:bidi w:val="0"/>
        <w:spacing w:lineRule="auto" w:line="276" w:before="0" w:after="0"/>
        <w:ind w:left="964" w:right="0" w:hanging="0"/>
        <w:contextualSpacing/>
        <w:jc w:val="both"/>
        <w:rPr>
          <w:rFonts w:ascii="Arial" w:hAnsi="Arial" w:cs="Arial"/>
          <w:iCs/>
          <w:sz w:val="20"/>
          <w:szCs w:val="20"/>
        </w:rPr>
      </w:pPr>
      <w:r>
        <w:rPr>
          <w:rFonts w:cs="Arial" w:ascii="Arial" w:hAnsi="Arial"/>
          <w:iCs/>
          <w:sz w:val="20"/>
          <w:szCs w:val="20"/>
        </w:rPr>
        <w:t>9.1.1. A contratação será atendida pela seguinte dotação:</w:t>
      </w:r>
    </w:p>
    <w:p>
      <w:pPr>
        <w:pStyle w:val="Normal"/>
        <w:spacing w:lineRule="auto" w:line="276" w:before="0" w:after="0"/>
        <w:ind w:left="1133" w:firstLine="283"/>
        <w:jc w:val="both"/>
        <w:rPr>
          <w:rFonts w:ascii="Arial" w:hAnsi="Arial" w:cs="Arial"/>
          <w:iCs/>
          <w:sz w:val="20"/>
          <w:szCs w:val="20"/>
        </w:rPr>
      </w:pPr>
      <w:r>
        <w:rPr>
          <w:rFonts w:cs="Arial" w:ascii="Arial" w:hAnsi="Arial"/>
          <w:iCs/>
          <w:sz w:val="20"/>
          <w:szCs w:val="20"/>
        </w:rPr>
      </w:r>
    </w:p>
    <w:p>
      <w:pPr>
        <w:pStyle w:val="Normal"/>
        <w:spacing w:lineRule="auto" w:line="276" w:before="0" w:after="0"/>
        <w:ind w:left="850" w:firstLine="566"/>
        <w:jc w:val="both"/>
        <w:rPr>
          <w:color w:val="000000"/>
        </w:rPr>
      </w:pPr>
      <w:r>
        <w:rPr>
          <w:rFonts w:cs="Arial" w:ascii="Arial" w:hAnsi="Arial"/>
          <w:i/>
          <w:iCs/>
          <w:color w:val="000000"/>
          <w:sz w:val="20"/>
          <w:szCs w:val="20"/>
        </w:rPr>
        <w:t xml:space="preserve">Fonte de Recursos: </w:t>
      </w:r>
      <w:r>
        <w:rPr>
          <w:rFonts w:cs="Arial" w:ascii="Arial" w:hAnsi="Arial"/>
          <w:i/>
          <w:iCs/>
          <w:color w:val="000000"/>
          <w:sz w:val="20"/>
          <w:szCs w:val="20"/>
        </w:rPr>
        <w:t>160539</w:t>
      </w:r>
      <w:r>
        <w:rPr>
          <w:rFonts w:cs="Arial" w:ascii="Arial" w:hAnsi="Arial"/>
          <w:i/>
          <w:iCs/>
          <w:color w:val="000000"/>
          <w:sz w:val="20"/>
          <w:szCs w:val="20"/>
        </w:rPr>
        <w:t>;</w:t>
      </w:r>
    </w:p>
    <w:p>
      <w:pPr>
        <w:pStyle w:val="Normal"/>
        <w:spacing w:lineRule="auto" w:line="276" w:before="0" w:after="0"/>
        <w:ind w:left="1133" w:firstLine="283"/>
        <w:jc w:val="both"/>
        <w:rPr>
          <w:color w:val="000000"/>
        </w:rPr>
      </w:pPr>
      <w:r>
        <w:rPr>
          <w:rFonts w:cs="Arial" w:ascii="Arial" w:hAnsi="Arial"/>
          <w:i/>
          <w:iCs/>
          <w:color w:val="000000"/>
          <w:sz w:val="20"/>
          <w:szCs w:val="20"/>
        </w:rPr>
        <w:t xml:space="preserve">Programa de Trabalho: </w:t>
      </w:r>
      <w:r>
        <w:rPr>
          <w:rFonts w:eastAsia="Calibri" w:cs="Arial" w:ascii="Arial" w:hAnsi="Arial"/>
          <w:i/>
          <w:iCs/>
          <w:color w:val="000000"/>
          <w:kern w:val="0"/>
          <w:sz w:val="20"/>
          <w:szCs w:val="20"/>
          <w:lang w:val="pt-BR" w:eastAsia="en-US" w:bidi="ar-SA"/>
        </w:rPr>
        <w:t>100000000</w:t>
      </w:r>
      <w:r>
        <w:rPr>
          <w:rFonts w:cs="Arial" w:ascii="Arial" w:hAnsi="Arial"/>
          <w:i/>
          <w:iCs/>
          <w:color w:val="000000"/>
          <w:sz w:val="20"/>
          <w:szCs w:val="20"/>
        </w:rPr>
        <w:t>;</w:t>
      </w:r>
    </w:p>
    <w:p>
      <w:pPr>
        <w:pStyle w:val="Normal"/>
        <w:spacing w:lineRule="auto" w:line="276" w:before="0" w:after="0"/>
        <w:ind w:left="850" w:firstLine="566"/>
        <w:jc w:val="both"/>
        <w:rPr>
          <w:color w:val="000000"/>
        </w:rPr>
      </w:pPr>
      <w:r>
        <w:rPr>
          <w:rFonts w:cs="Arial" w:ascii="Arial" w:hAnsi="Arial"/>
          <w:i/>
          <w:iCs/>
          <w:color w:val="000000"/>
          <w:sz w:val="20"/>
          <w:szCs w:val="20"/>
        </w:rPr>
        <w:t xml:space="preserve">Elemento de Despesa: </w:t>
      </w:r>
      <w:r>
        <w:rPr>
          <w:rFonts w:cs="Arial" w:ascii="Arial" w:hAnsi="Arial"/>
          <w:i/>
          <w:iCs/>
          <w:color w:val="000000"/>
          <w:sz w:val="20"/>
          <w:szCs w:val="20"/>
        </w:rPr>
        <w:t>339039</w:t>
      </w:r>
      <w:r>
        <w:rPr>
          <w:rFonts w:cs="Arial" w:ascii="Arial" w:hAnsi="Arial"/>
          <w:i/>
          <w:iCs/>
          <w:color w:val="000000"/>
          <w:sz w:val="20"/>
          <w:szCs w:val="20"/>
        </w:rPr>
        <w:t>;</w:t>
      </w:r>
    </w:p>
    <w:p>
      <w:pPr>
        <w:pStyle w:val="Normal"/>
        <w:spacing w:lineRule="auto" w:line="276" w:before="0" w:after="0"/>
        <w:ind w:left="850" w:firstLine="566"/>
        <w:jc w:val="both"/>
        <w:rPr>
          <w:color w:val="000000"/>
        </w:rPr>
      </w:pPr>
      <w:r>
        <w:rPr>
          <w:rFonts w:cs="Arial" w:ascii="Arial" w:hAnsi="Arial"/>
          <w:i/>
          <w:iCs/>
          <w:color w:val="000000"/>
          <w:sz w:val="20"/>
          <w:szCs w:val="20"/>
        </w:rPr>
        <w:t xml:space="preserve">Plano Interno: </w:t>
      </w:r>
      <w:r>
        <w:rPr>
          <w:rFonts w:cs="Arial" w:ascii="Arial" w:hAnsi="Arial"/>
          <w:i/>
          <w:iCs/>
          <w:color w:val="000000"/>
          <w:sz w:val="20"/>
          <w:szCs w:val="20"/>
        </w:rPr>
        <w:t>FAOPPRECDOT</w:t>
      </w:r>
      <w:r>
        <w:rPr>
          <w:rFonts w:cs="Arial" w:ascii="Arial" w:hAnsi="Arial"/>
          <w:i/>
          <w:iCs/>
          <w:color w:val="000000"/>
          <w:sz w:val="20"/>
          <w:szCs w:val="20"/>
        </w:rPr>
        <w:t>;</w:t>
      </w:r>
    </w:p>
    <w:p>
      <w:pPr>
        <w:pStyle w:val="Normal"/>
        <w:spacing w:lineRule="auto" w:line="276" w:before="0" w:after="0"/>
        <w:ind w:left="850" w:firstLine="566"/>
        <w:jc w:val="both"/>
        <w:rPr>
          <w:color w:val="000000"/>
        </w:rPr>
      </w:pPr>
      <w:r>
        <w:rPr>
          <w:rFonts w:cs="Arial" w:ascii="Arial" w:hAnsi="Arial"/>
          <w:i/>
          <w:iCs/>
          <w:color w:val="000000"/>
          <w:sz w:val="20"/>
          <w:szCs w:val="20"/>
        </w:rPr>
        <w:t xml:space="preserve">NOTA CRÉDITO Nº </w:t>
      </w:r>
      <w:r>
        <w:rPr>
          <w:rFonts w:cs="Arial" w:ascii="Arial" w:hAnsi="Arial"/>
          <w:i/>
          <w:iCs/>
          <w:color w:val="000000"/>
          <w:sz w:val="20"/>
          <w:szCs w:val="20"/>
        </w:rPr>
        <w:t>2023NC003472</w:t>
      </w:r>
      <w:r>
        <w:rPr>
          <w:rFonts w:cs="Arial" w:ascii="Arial" w:hAnsi="Arial"/>
          <w:i/>
          <w:iCs/>
          <w:color w:val="000000"/>
          <w:sz w:val="20"/>
          <w:szCs w:val="20"/>
        </w:rPr>
        <w:t xml:space="preserve">, DE </w:t>
      </w:r>
      <w:r>
        <w:rPr>
          <w:rFonts w:cs="Arial" w:ascii="Arial" w:hAnsi="Arial"/>
          <w:i/>
          <w:iCs/>
          <w:color w:val="000000"/>
          <w:sz w:val="20"/>
          <w:szCs w:val="20"/>
        </w:rPr>
        <w:t>17</w:t>
      </w:r>
      <w:r>
        <w:rPr>
          <w:rFonts w:cs="Arial" w:ascii="Arial" w:hAnsi="Arial"/>
          <w:i/>
          <w:iCs/>
          <w:color w:val="000000"/>
          <w:sz w:val="20"/>
          <w:szCs w:val="20"/>
        </w:rPr>
        <w:t xml:space="preserve"> DE </w:t>
      </w:r>
      <w:r>
        <w:rPr>
          <w:rFonts w:cs="Arial" w:ascii="Arial" w:hAnsi="Arial"/>
          <w:i/>
          <w:iCs/>
          <w:color w:val="000000"/>
          <w:sz w:val="20"/>
          <w:szCs w:val="20"/>
        </w:rPr>
        <w:t>ABRIL</w:t>
      </w:r>
      <w:r>
        <w:rPr>
          <w:rFonts w:cs="Arial" w:ascii="Arial" w:hAnsi="Arial"/>
          <w:i/>
          <w:iCs/>
          <w:color w:val="000000"/>
          <w:sz w:val="20"/>
          <w:szCs w:val="20"/>
        </w:rPr>
        <w:t xml:space="preserve"> DE 202</w:t>
      </w:r>
      <w:r>
        <w:rPr>
          <w:rFonts w:cs="Arial" w:ascii="Arial" w:hAnsi="Arial"/>
          <w:i/>
          <w:iCs/>
          <w:color w:val="000000"/>
          <w:sz w:val="20"/>
          <w:szCs w:val="20"/>
        </w:rPr>
        <w:t>3.</w:t>
      </w:r>
    </w:p>
    <w:p>
      <w:pPr>
        <w:pStyle w:val="Normal"/>
        <w:spacing w:lineRule="auto" w:line="276" w:before="0" w:after="0"/>
        <w:ind w:left="850" w:firstLine="566"/>
        <w:jc w:val="both"/>
        <w:rPr>
          <w:color w:val="000000"/>
        </w:rPr>
      </w:pPr>
      <w:r>
        <w:rPr>
          <w:rFonts w:cs="Arial" w:ascii="Arial" w:hAnsi="Arial"/>
          <w:i/>
          <w:iCs/>
          <w:color w:val="000000"/>
          <w:sz w:val="20"/>
          <w:szCs w:val="20"/>
        </w:rPr>
        <w:t>DIRETORIA QUE DESCENTRALIZOU: COTER.</w:t>
      </w:r>
    </w:p>
    <w:p>
      <w:pPr>
        <w:pStyle w:val="Normal"/>
        <w:spacing w:lineRule="auto" w:line="276" w:before="0" w:after="0"/>
        <w:jc w:val="both"/>
        <w:rPr>
          <w:rFonts w:ascii="Arial" w:hAnsi="Arial" w:cs="Arial"/>
          <w:bCs/>
          <w:color w:val="000000"/>
          <w:sz w:val="20"/>
          <w:szCs w:val="20"/>
        </w:rPr>
      </w:pPr>
      <w:r>
        <w:rPr>
          <w:rFonts w:cs="Arial" w:ascii="Arial" w:hAnsi="Arial"/>
          <w:bCs/>
          <w:color w:val="000000"/>
          <w:sz w:val="20"/>
          <w:szCs w:val="20"/>
        </w:rPr>
      </w:r>
    </w:p>
    <w:p>
      <w:pPr>
        <w:pStyle w:val="ListParagraph"/>
        <w:numPr>
          <w:ilvl w:val="0"/>
          <w:numId w:val="0"/>
        </w:numPr>
        <w:spacing w:lineRule="auto" w:line="276" w:before="0" w:after="0"/>
        <w:ind w:left="1152" w:hanging="0"/>
        <w:contextualSpacing/>
        <w:jc w:val="both"/>
        <w:rPr>
          <w:color w:val="000000"/>
        </w:rPr>
      </w:pPr>
      <w:r>
        <w:rPr>
          <w:rFonts w:cs="Arial" w:ascii="Arial" w:hAnsi="Arial"/>
          <w:i/>
          <w:iCs/>
          <w:color w:val="000000"/>
          <w:sz w:val="20"/>
          <w:szCs w:val="20"/>
        </w:rPr>
        <w:t>9.2. A dotação relativa aos exercícios financeiros subsequentes será indicada após aprovação da Lei Orçamentária respectiva e liberação dos créditos correspondentes, mediante apostilamento.</w:t>
      </w:r>
    </w:p>
    <w:p>
      <w:pPr>
        <w:pStyle w:val="ListParagraph"/>
        <w:spacing w:lineRule="auto" w:line="276" w:before="0" w:after="0"/>
        <w:contextualSpacing/>
        <w:jc w:val="both"/>
        <w:rPr>
          <w:rFonts w:ascii="Arial" w:hAnsi="Arial" w:cs="Arial"/>
          <w:i/>
          <w:i/>
          <w:iCs/>
          <w:color w:val="000000"/>
          <w:sz w:val="20"/>
          <w:szCs w:val="20"/>
        </w:rPr>
      </w:pPr>
      <w:r>
        <w:rPr>
          <w:rFonts w:cs="Arial" w:ascii="Arial" w:hAnsi="Arial"/>
          <w:i/>
          <w:iCs/>
          <w:color w:val="000000"/>
          <w:sz w:val="20"/>
          <w:szCs w:val="20"/>
        </w:rPr>
      </w:r>
    </w:p>
    <w:p>
      <w:pPr>
        <w:pStyle w:val="Normal"/>
        <w:spacing w:before="0" w:after="360"/>
        <w:ind w:left="360" w:hanging="0"/>
        <w:jc w:val="center"/>
        <w:rPr>
          <w:color w:val="000000"/>
        </w:rPr>
      </w:pPr>
      <w:r>
        <w:rPr>
          <w:rFonts w:cs="Arial"/>
          <w:b w:val="false"/>
          <w:bCs w:val="false"/>
          <w:i/>
          <w:color w:val="000000"/>
          <w:szCs w:val="20"/>
        </w:rPr>
        <w:t xml:space="preserve">Juiz de Fora/MG, ____ </w:t>
      </w:r>
      <w:r>
        <w:rPr>
          <w:rFonts w:cs="Arial"/>
          <w:b w:val="false"/>
          <w:bCs w:val="false"/>
          <w:color w:val="000000"/>
          <w:szCs w:val="20"/>
        </w:rPr>
        <w:t>de</w:t>
      </w:r>
      <w:r>
        <w:rPr>
          <w:rFonts w:cs="Arial"/>
          <w:b w:val="false"/>
          <w:bCs w:val="false"/>
          <w:color w:val="000000"/>
          <w:szCs w:val="20"/>
        </w:rPr>
        <w:t xml:space="preserve"> ___________________ </w:t>
      </w:r>
      <w:r>
        <w:rPr>
          <w:rFonts w:cs="Arial"/>
          <w:b w:val="false"/>
          <w:bCs w:val="false"/>
          <w:color w:val="000000"/>
          <w:szCs w:val="20"/>
        </w:rPr>
        <w:t>de</w:t>
      </w:r>
      <w:r>
        <w:rPr>
          <w:rFonts w:cs="Arial"/>
          <w:b w:val="false"/>
          <w:bCs w:val="false"/>
          <w:color w:val="000000"/>
          <w:szCs w:val="20"/>
        </w:rPr>
        <w:t xml:space="preserve"> 2022</w:t>
      </w:r>
      <w:r>
        <w:rPr>
          <w:rFonts w:cs="Arial"/>
          <w:b w:val="false"/>
          <w:bCs w:val="false"/>
          <w:color w:val="000000"/>
          <w:szCs w:val="20"/>
        </w:rPr>
        <w:t xml:space="preserve">. </w:t>
      </w:r>
    </w:p>
    <w:p>
      <w:pPr>
        <w:pStyle w:val="Normal"/>
        <w:spacing w:before="0" w:after="0"/>
        <w:ind w:left="360" w:hanging="0"/>
        <w:jc w:val="center"/>
        <w:rPr>
          <w:b/>
          <w:b/>
          <w:bCs/>
          <w:color w:val="000000"/>
        </w:rPr>
      </w:pPr>
      <w:r>
        <w:rPr>
          <w:b/>
          <w:bCs/>
          <w:color w:val="000000"/>
        </w:rPr>
      </w:r>
    </w:p>
    <w:p>
      <w:pPr>
        <w:pStyle w:val="Normal"/>
        <w:spacing w:before="0" w:after="0"/>
        <w:ind w:left="360" w:hanging="0"/>
        <w:jc w:val="center"/>
        <w:rPr>
          <w:rFonts w:ascii="Calibri" w:hAnsi="Calibri" w:eastAsia="Calibri" w:cs="" w:asciiTheme="minorHAnsi" w:cstheme="minorBidi" w:eastAsiaTheme="minorHAnsi" w:hAnsiTheme="minorHAnsi"/>
          <w:b/>
          <w:b/>
          <w:bCs/>
          <w:shd w:fill="FFFF00" w:val="clear"/>
        </w:rPr>
      </w:pPr>
      <w:r>
        <w:rPr>
          <w:rFonts w:eastAsia="Calibri" w:cs="" w:cstheme="minorBidi" w:eastAsiaTheme="minorHAnsi"/>
          <w:b/>
          <w:bCs/>
          <w:shd w:fill="FFFF00" w:val="clear"/>
        </w:rPr>
        <w:t>****  assinar digitalmente pelo gov.br ou token digital *****</w:t>
      </w:r>
    </w:p>
    <w:p>
      <w:pPr>
        <w:pStyle w:val="Normal"/>
        <w:spacing w:before="0" w:after="0"/>
        <w:ind w:left="360" w:hanging="0"/>
        <w:jc w:val="center"/>
        <w:rPr>
          <w:b/>
          <w:b/>
          <w:bCs/>
        </w:rPr>
      </w:pPr>
      <w:r>
        <w:rPr>
          <w:b/>
          <w:bCs/>
        </w:rPr>
      </w:r>
    </w:p>
    <w:p>
      <w:pPr>
        <w:pStyle w:val="Normal"/>
        <w:spacing w:before="0" w:after="0"/>
        <w:ind w:left="360" w:hanging="0"/>
        <w:jc w:val="center"/>
        <w:rPr>
          <w:b/>
          <w:b/>
          <w:bCs/>
        </w:rPr>
      </w:pPr>
      <w:r>
        <w:rPr>
          <w:b/>
          <w:bCs/>
        </w:rPr>
      </w:r>
    </w:p>
    <w:p>
      <w:pPr>
        <w:pStyle w:val="Normal"/>
        <w:spacing w:before="0" w:after="0"/>
        <w:ind w:left="360" w:hanging="0"/>
        <w:jc w:val="center"/>
        <w:rPr>
          <w:b/>
          <w:b/>
          <w:bCs/>
        </w:rPr>
      </w:pPr>
      <w:r>
        <w:rPr>
          <w:b/>
          <w:bCs/>
        </w:rPr>
      </w:r>
    </w:p>
    <w:p>
      <w:pPr>
        <w:pStyle w:val="Normal"/>
        <w:spacing w:before="0" w:after="0"/>
        <w:ind w:left="360" w:hanging="0"/>
        <w:jc w:val="center"/>
        <w:rPr>
          <w:b/>
          <w:b/>
          <w:bCs/>
        </w:rPr>
      </w:pPr>
      <w:r>
        <w:rPr>
          <w:rStyle w:val="Fontepargpadro"/>
          <w:rFonts w:eastAsia="Times New Roman" w:cs="Arial" w:ascii="Times New Roman" w:hAnsi="Times New Roman"/>
          <w:b/>
          <w:bCs/>
          <w:color w:val="000000"/>
          <w:sz w:val="24"/>
          <w:szCs w:val="24"/>
          <w:shd w:fill="auto" w:val="clear"/>
          <w:lang w:val="zxx" w:eastAsia="zxx" w:bidi="zxx"/>
        </w:rPr>
        <w:t xml:space="preserve">RAFAEL RIBEIRO SALES – </w:t>
      </w:r>
      <w:r>
        <w:rPr>
          <w:rStyle w:val="Fontepargpadro"/>
          <w:rFonts w:eastAsia="Times New Roman" w:cs="Arial" w:ascii="Times New Roman" w:hAnsi="Times New Roman"/>
          <w:b/>
          <w:bCs/>
          <w:color w:val="000000"/>
          <w:sz w:val="24"/>
          <w:szCs w:val="24"/>
          <w:shd w:fill="auto" w:val="clear"/>
          <w:lang w:val="zxx" w:eastAsia="zxx" w:bidi="zxx"/>
        </w:rPr>
        <w:t>Ten Cel</w:t>
      </w:r>
    </w:p>
    <w:p>
      <w:pPr>
        <w:pStyle w:val="Normal"/>
        <w:tabs>
          <w:tab w:val="clear" w:pos="708"/>
          <w:tab w:val="left" w:pos="0" w:leader="none"/>
        </w:tabs>
        <w:spacing w:before="0" w:after="0"/>
        <w:ind w:left="360" w:hanging="0"/>
        <w:jc w:val="center"/>
        <w:rPr>
          <w:rFonts w:ascii="Times New Roman" w:hAnsi="Times New Roman" w:eastAsia="Times New Roman" w:cs="Times New Roman"/>
          <w:b/>
          <w:b/>
          <w:bCs/>
          <w:color w:val="000000"/>
          <w:sz w:val="24"/>
          <w:szCs w:val="24"/>
          <w:shd w:fill="auto" w:val="clear"/>
          <w:lang w:val="zxx" w:eastAsia="zxx" w:bidi="zxx"/>
        </w:rPr>
      </w:pPr>
      <w:r>
        <w:rPr>
          <w:rStyle w:val="Fontepargpadro"/>
          <w:rFonts w:eastAsia="Times New Roman" w:cs="Arial" w:ascii="Times New Roman" w:hAnsi="Times New Roman"/>
          <w:b w:val="false"/>
          <w:bCs w:val="false"/>
          <w:i w:val="false"/>
          <w:iCs w:val="false"/>
          <w:color w:val="000000"/>
          <w:kern w:val="2"/>
          <w:sz w:val="24"/>
          <w:szCs w:val="24"/>
          <w:shd w:fill="auto" w:val="clear"/>
          <w:lang w:val="zxx" w:eastAsia="zxx" w:bidi="zxx"/>
        </w:rPr>
        <w:t xml:space="preserve">Chefe da 3ª Seção </w:t>
      </w:r>
      <w:r>
        <w:rPr>
          <w:rStyle w:val="Fontepargpadro"/>
          <w:rFonts w:eastAsia="Times New Roman" w:cs="Arial" w:ascii="Times New Roman" w:hAnsi="Times New Roman"/>
          <w:b w:val="false"/>
          <w:bCs w:val="false"/>
          <w:i w:val="false"/>
          <w:iCs w:val="false"/>
          <w:color w:val="000000"/>
          <w:kern w:val="2"/>
          <w:sz w:val="24"/>
          <w:szCs w:val="24"/>
          <w:shd w:fill="auto" w:val="clear"/>
          <w:lang w:val="zxx" w:eastAsia="zxx" w:bidi="zxx"/>
        </w:rPr>
        <w:t>do Cmdo 4ª Bda Inf L Mth</w:t>
      </w:r>
    </w:p>
    <w:p>
      <w:pPr>
        <w:pStyle w:val="Normal"/>
        <w:spacing w:before="0" w:after="360"/>
        <w:ind w:left="360" w:hanging="0"/>
        <w:rPr>
          <w:rFonts w:cs="Arial"/>
          <w:szCs w:val="20"/>
        </w:rPr>
      </w:pPr>
      <w:r>
        <w:rPr>
          <w:rFonts w:cs="Arial"/>
          <w:szCs w:val="20"/>
        </w:rPr>
      </w:r>
    </w:p>
    <w:p>
      <w:pPr>
        <w:pStyle w:val="Normal"/>
        <w:spacing w:before="0" w:after="360"/>
        <w:ind w:left="360" w:hanging="0"/>
        <w:rPr>
          <w:rFonts w:cs="Arial"/>
          <w:szCs w:val="20"/>
        </w:rPr>
      </w:pPr>
      <w:r>
        <w:rPr>
          <w:rFonts w:cs="Arial"/>
        </w:rPr>
        <w:t>Aprovo o presente Termo de Referência conforme o inciso VII do Art. 72 da Lei nº 14.133/2021 e autorizo a abertura do processo de dispensa eletrônica:</w:t>
      </w:r>
    </w:p>
    <w:p>
      <w:pPr>
        <w:pStyle w:val="Normal"/>
        <w:spacing w:before="0" w:after="360"/>
        <w:ind w:left="360" w:hanging="0"/>
        <w:rPr>
          <w:rFonts w:cs="Arial"/>
          <w:szCs w:val="20"/>
        </w:rPr>
      </w:pPr>
      <w:r>
        <w:rPr>
          <w:rFonts w:cs="Arial"/>
          <w:szCs w:val="20"/>
        </w:rPr>
      </w:r>
    </w:p>
    <w:p>
      <w:pPr>
        <w:pStyle w:val="Normal"/>
        <w:spacing w:before="0" w:after="360"/>
        <w:ind w:left="360" w:hanging="0"/>
        <w:rPr>
          <w:rFonts w:cs="Arial"/>
          <w:szCs w:val="20"/>
        </w:rPr>
      </w:pPr>
      <w:r>
        <w:rPr>
          <w:rFonts w:cs="Arial"/>
          <w:szCs w:val="20"/>
        </w:rPr>
      </w:r>
    </w:p>
    <w:p>
      <w:pPr>
        <w:pStyle w:val="Normal"/>
        <w:spacing w:before="0" w:after="0"/>
        <w:ind w:left="360" w:hanging="0"/>
        <w:jc w:val="center"/>
        <w:rPr>
          <w:b/>
          <w:b/>
          <w:bCs/>
        </w:rPr>
      </w:pPr>
      <w:r>
        <w:rPr>
          <w:b/>
          <w:bCs/>
        </w:rPr>
        <w:t xml:space="preserve">UBIRAJARA PANIZZI DE SOUZA – Cel </w:t>
      </w:r>
    </w:p>
    <w:p>
      <w:pPr>
        <w:pStyle w:val="Normal"/>
        <w:spacing w:before="0" w:after="0"/>
        <w:ind w:left="360" w:hanging="0"/>
        <w:jc w:val="center"/>
        <w:rPr/>
      </w:pPr>
      <w:r>
        <w:rPr/>
        <w:t>Ordenador de Despesas Cmdo 4ª Bda Inf L Mth</w:t>
      </w:r>
    </w:p>
    <w:p>
      <w:pPr>
        <w:pStyle w:val="Normal"/>
        <w:spacing w:before="0" w:after="360"/>
        <w:ind w:left="360" w:hanging="0"/>
        <w:rPr>
          <w:rFonts w:cs="Arial"/>
          <w:szCs w:val="20"/>
        </w:rPr>
      </w:pPr>
      <w:r>
        <w:rPr/>
      </w:r>
    </w:p>
    <w:sectPr>
      <w:footerReference w:type="default" r:id="rId3"/>
      <w:type w:val="nextPage"/>
      <w:pgSz w:w="11906" w:h="16838"/>
      <w:pgMar w:left="1701" w:right="1134" w:gutter="0" w:header="0" w:top="1701" w:footer="708"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Termo de Referência – Compras – Lei nº 14.133/21 – Contratação Direta</w:t>
    </w:r>
  </w:p>
  <w:p>
    <w:pPr>
      <w:pStyle w:val="Rodap"/>
      <w:rPr/>
    </w:pPr>
    <w:r>
      <w:rPr>
        <w:sz w:val="12"/>
        <w:szCs w:val="12"/>
      </w:rPr>
      <w:t>Atualização: Junho/2022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lowerRoman"/>
      <w:lvlText w:val="%1)"/>
      <w:lvlJc w:val="left"/>
      <w:pPr>
        <w:tabs>
          <w:tab w:val="num" w:pos="0"/>
        </w:tabs>
        <w:ind w:left="1703" w:hanging="720"/>
      </w:pPr>
    </w:lvl>
    <w:lvl w:ilvl="1">
      <w:start w:val="1"/>
      <w:numFmt w:val="lowerLetter"/>
      <w:lvlText w:val="%2."/>
      <w:lvlJc w:val="left"/>
      <w:pPr>
        <w:tabs>
          <w:tab w:val="num" w:pos="0"/>
        </w:tabs>
        <w:ind w:left="2063" w:hanging="360"/>
      </w:pPr>
    </w:lvl>
    <w:lvl w:ilvl="2">
      <w:start w:val="1"/>
      <w:numFmt w:val="lowerRoman"/>
      <w:lvlText w:val="%3."/>
      <w:lvlJc w:val="right"/>
      <w:pPr>
        <w:tabs>
          <w:tab w:val="num" w:pos="0"/>
        </w:tabs>
        <w:ind w:left="2783" w:hanging="180"/>
      </w:pPr>
    </w:lvl>
    <w:lvl w:ilvl="3">
      <w:start w:val="1"/>
      <w:numFmt w:val="decimal"/>
      <w:lvlText w:val="%4."/>
      <w:lvlJc w:val="left"/>
      <w:pPr>
        <w:tabs>
          <w:tab w:val="num" w:pos="0"/>
        </w:tabs>
        <w:ind w:left="3503" w:hanging="360"/>
      </w:pPr>
    </w:lvl>
    <w:lvl w:ilvl="4">
      <w:start w:val="1"/>
      <w:numFmt w:val="lowerLetter"/>
      <w:lvlText w:val="%5."/>
      <w:lvlJc w:val="left"/>
      <w:pPr>
        <w:tabs>
          <w:tab w:val="num" w:pos="0"/>
        </w:tabs>
        <w:ind w:left="4223" w:hanging="360"/>
      </w:pPr>
    </w:lvl>
    <w:lvl w:ilvl="5">
      <w:start w:val="1"/>
      <w:numFmt w:val="lowerRoman"/>
      <w:lvlText w:val="%6."/>
      <w:lvlJc w:val="right"/>
      <w:pPr>
        <w:tabs>
          <w:tab w:val="num" w:pos="0"/>
        </w:tabs>
        <w:ind w:left="4943" w:hanging="180"/>
      </w:pPr>
    </w:lvl>
    <w:lvl w:ilvl="6">
      <w:start w:val="1"/>
      <w:numFmt w:val="decimal"/>
      <w:lvlText w:val="%7."/>
      <w:lvlJc w:val="left"/>
      <w:pPr>
        <w:tabs>
          <w:tab w:val="num" w:pos="0"/>
        </w:tabs>
        <w:ind w:left="5663" w:hanging="360"/>
      </w:pPr>
    </w:lvl>
    <w:lvl w:ilvl="7">
      <w:start w:val="1"/>
      <w:numFmt w:val="lowerLetter"/>
      <w:lvlText w:val="%8."/>
      <w:lvlJc w:val="left"/>
      <w:pPr>
        <w:tabs>
          <w:tab w:val="num" w:pos="0"/>
        </w:tabs>
        <w:ind w:left="6383" w:hanging="360"/>
      </w:pPr>
    </w:lvl>
    <w:lvl w:ilvl="8">
      <w:start w:val="1"/>
      <w:numFmt w:val="lowerRoman"/>
      <w:lvlText w:val="%9."/>
      <w:lvlJc w:val="right"/>
      <w:pPr>
        <w:tabs>
          <w:tab w:val="num" w:pos="0"/>
        </w:tabs>
        <w:ind w:left="7103" w:hanging="180"/>
      </w:pPr>
    </w:lvl>
  </w:abstractNum>
  <w:abstractNum w:abstractNumId="3">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lvl w:ilvl="0">
      <w:start w:val="1"/>
      <w:numFmt w:val="decimal"/>
      <w:lvlText w:val="%1."/>
      <w:lvlJc w:val="left"/>
      <w:pPr>
        <w:tabs>
          <w:tab w:val="num" w:pos="0"/>
        </w:tabs>
        <w:ind w:left="360" w:hanging="360"/>
      </w:pPr>
      <w:rPr>
        <w:b/>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930" w:hanging="504"/>
      </w:pPr>
      <w:rPr>
        <w:i w:val="false"/>
        <w:b w:val="false"/>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1"/>
    <w:lvlOverride w:ilvl="1">
      <w:startOverride w:val="1"/>
    </w:lvlOverride>
  </w:num>
  <w:num w:numId="40">
    <w:abstractNumId w:val="1"/>
  </w:num>
  <w:num w:numId="41">
    <w:abstractNumId w:val="1"/>
    <w:lvlOverride w:ilvl="1">
      <w:startOverride w:val="1"/>
    </w:lvlOverride>
  </w:num>
  <w:num w:numId="42">
    <w:abstractNumId w:val="1"/>
    <w:lvlOverride w:ilvl="1">
      <w:startOverride w:val="1"/>
    </w:lvlOverride>
  </w:num>
  <w:num w:numId="43">
    <w:abstractNumId w:val="1"/>
    <w:lvlOverride w:ilvl="1">
      <w:startOverride w:val="1"/>
    </w:lvlOverride>
  </w:num>
  <w:num w:numId="44">
    <w:abstractNumId w:val="1"/>
  </w:num>
  <w:num w:numId="45">
    <w:abstractNumId w:val="1"/>
  </w:num>
  <w:num w:numId="46">
    <w:abstractNumId w:val="1"/>
  </w:num>
  <w:num w:numId="47">
    <w:abstractNumId w:val="1"/>
    <w:lvlOverride w:ilvl="1">
      <w:startOverride w:val="1"/>
    </w:lvlOverride>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lvlOverride w:ilvl="1">
      <w:startOverride w:val="1"/>
    </w:lvlOverride>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lvlOverride w:ilvl="1">
      <w:startOverride w:val="1"/>
    </w:lvlOverride>
  </w:num>
</w:numbering>
</file>

<file path=word/settings.xml><?xml version="1.0" encoding="utf-8"?>
<w:settings xmlns:w="http://schemas.openxmlformats.org/wordprocessingml/2006/main">
  <w:zoom w:percent="14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e71e3"/>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Ttulo1">
    <w:name w:val="Heading 1"/>
    <w:basedOn w:val="Normal"/>
    <w:next w:val="Normal"/>
    <w:link w:val="Ttulo1Char"/>
    <w:uiPriority w:val="9"/>
    <w:qFormat/>
    <w:rsid w:val="00fe71e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tulo6">
    <w:name w:val="Heading 6"/>
    <w:basedOn w:val="Normal"/>
    <w:next w:val="Normal"/>
    <w:link w:val="Ttulo6Char"/>
    <w:uiPriority w:val="9"/>
    <w:semiHidden/>
    <w:unhideWhenUsed/>
    <w:qFormat/>
    <w:rsid w:val="008e1fe3"/>
    <w:pPr>
      <w:keepNext w:val="true"/>
      <w:keepLines/>
      <w:spacing w:before="40" w:after="0"/>
      <w:outlineLvl w:val="5"/>
    </w:pPr>
    <w:rPr>
      <w:rFonts w:ascii="Calibri Light" w:hAnsi="Calibri Light" w:eastAsia="" w:cs="" w:asciiTheme="majorHAnsi" w:cstheme="majorBidi" w:eastAsiaTheme="majorEastAsia" w:hAnsiTheme="majorHAnsi"/>
      <w:color w:val="1F3763" w:themeColor="accent1" w:themeShade="7f"/>
    </w:rPr>
  </w:style>
  <w:style w:type="character" w:styleId="DefaultParagraphFont" w:default="1">
    <w:name w:val="Default Paragraph Font"/>
    <w:uiPriority w:val="1"/>
    <w:semiHidden/>
    <w:unhideWhenUsed/>
    <w:qFormat/>
    <w:rPr/>
  </w:style>
  <w:style w:type="character" w:styleId="LinkdaInternet">
    <w:name w:val="Link da Internet"/>
    <w:unhideWhenUsed/>
    <w:rsid w:val="00fe71e3"/>
    <w:rPr>
      <w:color w:val="000080"/>
      <w:u w:val="single"/>
    </w:rPr>
  </w:style>
  <w:style w:type="character" w:styleId="CitaoChar" w:customStyle="1">
    <w:name w:val="Citação Char"/>
    <w:basedOn w:val="DefaultParagraphFont"/>
    <w:link w:val="Citao"/>
    <w:qFormat/>
    <w:rsid w:val="00fe71e3"/>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fe71e3"/>
    <w:rPr>
      <w:rFonts w:ascii="Arial" w:hAnsi="Arial" w:eastAsia="" w:cs="Arial" w:eastAsiaTheme="majorEastAsia"/>
      <w:b/>
      <w:color w:val="000000"/>
      <w:sz w:val="32"/>
      <w:szCs w:val="32"/>
    </w:rPr>
  </w:style>
  <w:style w:type="character" w:styleId="Ttulo1Char" w:customStyle="1">
    <w:name w:val="Título 1 Char"/>
    <w:basedOn w:val="DefaultParagraphFont"/>
    <w:link w:val="Ttulo1"/>
    <w:uiPriority w:val="9"/>
    <w:qFormat/>
    <w:rsid w:val="00fe71e3"/>
    <w:rPr>
      <w:rFonts w:ascii="Calibri Light" w:hAnsi="Calibri Light" w:eastAsia="" w:cs="" w:asciiTheme="majorHAnsi" w:cstheme="majorBidi" w:eastAsiaTheme="majorEastAsia" w:hAnsiTheme="majorHAnsi"/>
      <w:color w:val="2F5496" w:themeColor="accent1" w:themeShade="bf"/>
      <w:sz w:val="32"/>
      <w:szCs w:val="32"/>
    </w:rPr>
  </w:style>
  <w:style w:type="character" w:styleId="Normalchar1" w:customStyle="1">
    <w:name w:val="normal__char1"/>
    <w:qFormat/>
    <w:rsid w:val="00a45c14"/>
    <w:rPr>
      <w:rFonts w:ascii="Arial" w:hAnsi="Arial" w:cs="Arial"/>
      <w:strike w:val="false"/>
      <w:dstrike w:val="false"/>
      <w:sz w:val="24"/>
      <w:szCs w:val="24"/>
      <w:u w:val="none"/>
      <w:effect w:val="none"/>
    </w:rPr>
  </w:style>
  <w:style w:type="character" w:styleId="Strong">
    <w:name w:val="Strong"/>
    <w:basedOn w:val="DefaultParagraphFont"/>
    <w:uiPriority w:val="22"/>
    <w:qFormat/>
    <w:rsid w:val="0042560b"/>
    <w:rPr>
      <w:b/>
      <w:bCs/>
    </w:rPr>
  </w:style>
  <w:style w:type="character" w:styleId="MenoPendente1" w:customStyle="1">
    <w:name w:val="Menção Pendente1"/>
    <w:basedOn w:val="DefaultParagraphFont"/>
    <w:uiPriority w:val="99"/>
    <w:semiHidden/>
    <w:unhideWhenUsed/>
    <w:qFormat/>
    <w:rsid w:val="00c81183"/>
    <w:rPr>
      <w:color w:val="605E5C"/>
      <w:shd w:fill="E1DFDD" w:val="clear"/>
    </w:rPr>
  </w:style>
  <w:style w:type="character" w:styleId="Annotationreference">
    <w:name w:val="annotation reference"/>
    <w:basedOn w:val="DefaultParagraphFont"/>
    <w:uiPriority w:val="99"/>
    <w:unhideWhenUsed/>
    <w:qFormat/>
    <w:rsid w:val="00843661"/>
    <w:rPr>
      <w:sz w:val="16"/>
      <w:szCs w:val="16"/>
    </w:rPr>
  </w:style>
  <w:style w:type="character" w:styleId="TextodecomentrioChar" w:customStyle="1">
    <w:name w:val="Texto de comentário Char"/>
    <w:basedOn w:val="DefaultParagraphFont"/>
    <w:link w:val="Textodecomentrio"/>
    <w:uiPriority w:val="99"/>
    <w:qFormat/>
    <w:rsid w:val="00843661"/>
    <w:rPr>
      <w:sz w:val="20"/>
      <w:szCs w:val="20"/>
    </w:rPr>
  </w:style>
  <w:style w:type="character" w:styleId="AssuntodocomentrioChar" w:customStyle="1">
    <w:name w:val="Assunto do comentário Char"/>
    <w:basedOn w:val="TextodecomentrioChar"/>
    <w:link w:val="Assuntodocomentrio"/>
    <w:uiPriority w:val="99"/>
    <w:semiHidden/>
    <w:qFormat/>
    <w:rsid w:val="00843661"/>
    <w:rPr>
      <w:b/>
      <w:bCs/>
      <w:sz w:val="20"/>
      <w:szCs w:val="20"/>
    </w:rPr>
  </w:style>
  <w:style w:type="character" w:styleId="Ttulo6Char" w:customStyle="1">
    <w:name w:val="Título 6 Char"/>
    <w:basedOn w:val="DefaultParagraphFont"/>
    <w:link w:val="Ttulo6"/>
    <w:uiPriority w:val="9"/>
    <w:semiHidden/>
    <w:qFormat/>
    <w:rsid w:val="008e1fe3"/>
    <w:rPr>
      <w:rFonts w:ascii="Calibri Light" w:hAnsi="Calibri Light" w:eastAsia="" w:cs="" w:asciiTheme="majorHAnsi" w:cstheme="majorBidi" w:eastAsiaTheme="majorEastAsia" w:hAnsiTheme="majorHAnsi"/>
      <w:color w:val="1F3763" w:themeColor="accent1" w:themeShade="7f"/>
    </w:rPr>
  </w:style>
  <w:style w:type="character" w:styleId="Linkdainternetvisitado">
    <w:name w:val="Link da internet visitado"/>
    <w:basedOn w:val="DefaultParagraphFont"/>
    <w:uiPriority w:val="99"/>
    <w:semiHidden/>
    <w:unhideWhenUsed/>
    <w:rsid w:val="00206410"/>
    <w:rPr>
      <w:color w:val="954F72" w:themeColor="followedHyperlink"/>
      <w:u w:val="single"/>
    </w:rPr>
  </w:style>
  <w:style w:type="character" w:styleId="QuoteChar" w:customStyle="1">
    <w:name w:val="Quote Char"/>
    <w:link w:val="Citao1"/>
    <w:qFormat/>
    <w:locked/>
    <w:rsid w:val="003948b2"/>
    <w:rPr>
      <w:rFonts w:ascii="Ecofont_Spranq_eco_Sans" w:hAnsi="Ecofont_Spranq_eco_Sans" w:cs="Ecofont_Spranq_eco_Sans"/>
      <w:i/>
      <w:iCs/>
      <w:color w:val="000000"/>
      <w:sz w:val="24"/>
      <w:szCs w:val="24"/>
      <w:shd w:fill="FFFFCC" w:val="clear"/>
    </w:rPr>
  </w:style>
  <w:style w:type="character" w:styleId="Markedcontent" w:customStyle="1">
    <w:name w:val="markedcontent"/>
    <w:basedOn w:val="DefaultParagraphFont"/>
    <w:qFormat/>
    <w:rsid w:val="00bd4caf"/>
    <w:rPr/>
  </w:style>
  <w:style w:type="character" w:styleId="Highlight" w:customStyle="1">
    <w:name w:val="highlight"/>
    <w:basedOn w:val="DefaultParagraphFont"/>
    <w:qFormat/>
    <w:rsid w:val="00bd4caf"/>
    <w:rPr/>
  </w:style>
  <w:style w:type="character" w:styleId="TextodebaloChar" w:customStyle="1">
    <w:name w:val="Texto de balão Char"/>
    <w:basedOn w:val="DefaultParagraphFont"/>
    <w:link w:val="Textodebalo"/>
    <w:uiPriority w:val="99"/>
    <w:semiHidden/>
    <w:qFormat/>
    <w:rsid w:val="00e81162"/>
    <w:rPr>
      <w:rFonts w:ascii="Segoe UI" w:hAnsi="Segoe UI" w:cs="Segoe UI"/>
      <w:sz w:val="18"/>
      <w:szCs w:val="18"/>
    </w:rPr>
  </w:style>
  <w:style w:type="character" w:styleId="MenoPendente2" w:customStyle="1">
    <w:name w:val="Menção Pendente2"/>
    <w:basedOn w:val="DefaultParagraphFont"/>
    <w:uiPriority w:val="99"/>
    <w:semiHidden/>
    <w:unhideWhenUsed/>
    <w:qFormat/>
    <w:rsid w:val="00307e84"/>
    <w:rPr>
      <w:color w:val="605E5C"/>
      <w:shd w:fill="E1DFDD" w:val="clear"/>
    </w:rPr>
  </w:style>
  <w:style w:type="character" w:styleId="Nivel2Char" w:customStyle="1">
    <w:name w:val="Nivel 2 Char"/>
    <w:basedOn w:val="DefaultParagraphFont"/>
    <w:link w:val="Nivel2"/>
    <w:qFormat/>
    <w:locked/>
    <w:rsid w:val="00ff4094"/>
    <w:rPr>
      <w:rFonts w:ascii="Arial" w:hAnsi="Arial" w:cs="Arial"/>
      <w:color w:val="000000"/>
    </w:rPr>
  </w:style>
  <w:style w:type="character" w:styleId="Citao2Char" w:customStyle="1">
    <w:name w:val="citação 2 Char"/>
    <w:basedOn w:val="CitaoChar"/>
    <w:link w:val="citao2"/>
    <w:qFormat/>
    <w:rsid w:val="003e7046"/>
    <w:rPr>
      <w:rFonts w:ascii="Arial" w:hAnsi="Arial" w:eastAsia="Calibri" w:cs="Tahoma"/>
      <w:i/>
      <w:iCs/>
      <w:color w:val="000000"/>
      <w:kern w:val="2"/>
      <w:sz w:val="20"/>
      <w:szCs w:val="20"/>
      <w:shd w:fill="FFFFCC" w:val="clear"/>
      <w:lang w:eastAsia="zh-CN" w:bidi="hi-IN"/>
    </w:rPr>
  </w:style>
  <w:style w:type="character" w:styleId="CabealhoChar" w:customStyle="1">
    <w:name w:val="Cabeçalho Char"/>
    <w:basedOn w:val="DefaultParagraphFont"/>
    <w:link w:val="Cabealho"/>
    <w:uiPriority w:val="99"/>
    <w:qFormat/>
    <w:rsid w:val="0073140b"/>
    <w:rPr/>
  </w:style>
  <w:style w:type="character" w:styleId="RodapChar" w:customStyle="1">
    <w:name w:val="Rodapé Char"/>
    <w:basedOn w:val="DefaultParagraphFont"/>
    <w:link w:val="Rodap"/>
    <w:uiPriority w:val="99"/>
    <w:qFormat/>
    <w:rsid w:val="0073140b"/>
    <w:rPr/>
  </w:style>
  <w:style w:type="character" w:styleId="MenoPendente3" w:customStyle="1">
    <w:name w:val="Menção Pendente3"/>
    <w:basedOn w:val="DefaultParagraphFont"/>
    <w:uiPriority w:val="99"/>
    <w:semiHidden/>
    <w:unhideWhenUsed/>
    <w:qFormat/>
    <w:rsid w:val="00f57d61"/>
    <w:rPr>
      <w:color w:val="605E5C"/>
      <w:shd w:fill="E1DFDD" w:val="clear"/>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Microsoft YaHei" w:cs="Mang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Quote">
    <w:name w:val="Quote"/>
    <w:basedOn w:val="Normal"/>
    <w:next w:val="Normal"/>
    <w:link w:val="CitaoChar"/>
    <w:qFormat/>
    <w:rsid w:val="00fe71e3"/>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ahoma"/>
      <w:i/>
      <w:iCs/>
      <w:color w:val="000000"/>
      <w:sz w:val="20"/>
      <w:szCs w:val="24"/>
    </w:rPr>
  </w:style>
  <w:style w:type="paragraph" w:styleId="Nivel1" w:customStyle="1">
    <w:name w:val="Nivel1"/>
    <w:basedOn w:val="Ttulo1"/>
    <w:next w:val="Normal"/>
    <w:link w:val="Nivel1Char"/>
    <w:qFormat/>
    <w:rsid w:val="00fe71e3"/>
    <w:pPr>
      <w:spacing w:lineRule="auto" w:line="276" w:before="480" w:after="120"/>
      <w:jc w:val="both"/>
      <w:outlineLvl w:val="9"/>
    </w:pPr>
    <w:rPr>
      <w:rFonts w:ascii="Arial" w:hAnsi="Arial" w:cs="Arial"/>
      <w:b/>
      <w:color w:val="000000"/>
    </w:rPr>
  </w:style>
  <w:style w:type="paragraph" w:styleId="ListParagraph">
    <w:name w:val="List Paragraph"/>
    <w:basedOn w:val="Normal"/>
    <w:uiPriority w:val="34"/>
    <w:qFormat/>
    <w:rsid w:val="00fe71e3"/>
    <w:pPr>
      <w:spacing w:before="0" w:after="160"/>
      <w:ind w:left="720" w:hanging="0"/>
      <w:contextualSpacing/>
    </w:pPr>
    <w:rPr/>
  </w:style>
  <w:style w:type="paragraph" w:styleId="NormalWeb">
    <w:name w:val="Normal (Web)"/>
    <w:basedOn w:val="Normal"/>
    <w:uiPriority w:val="99"/>
    <w:unhideWhenUsed/>
    <w:qFormat/>
    <w:rsid w:val="00fe71e3"/>
    <w:pPr>
      <w:spacing w:lineRule="auto" w:line="240" w:beforeAutospacing="1" w:afterAutospacing="1"/>
    </w:pPr>
    <w:rPr>
      <w:rFonts w:ascii="Times New Roman" w:hAnsi="Times New Roman" w:eastAsia="Times New Roman" w:cs="Times New Roman"/>
      <w:sz w:val="24"/>
      <w:szCs w:val="24"/>
      <w:lang w:eastAsia="pt-BR"/>
    </w:rPr>
  </w:style>
  <w:style w:type="paragraph" w:styleId="SombreamentoMdio1nfase31" w:customStyle="1">
    <w:name w:val="Sombreamento Médio 1 - Ênfase 31"/>
    <w:basedOn w:val="Normal"/>
    <w:next w:val="Normal"/>
    <w:qFormat/>
    <w:rsid w:val="00a45c14"/>
    <w:pPr>
      <w:pBdr>
        <w:top w:val="single" w:sz="4" w:space="1" w:color="000080"/>
        <w:left w:val="single" w:sz="4" w:space="4" w:color="000080"/>
        <w:bottom w:val="single" w:sz="4" w:space="1" w:color="000080"/>
        <w:right w:val="single" w:sz="4" w:space="4" w:color="000080"/>
      </w:pBdr>
      <w:shd w:val="clear" w:color="auto" w:fill="FFFFCC"/>
      <w:suppressAutoHyphens w:val="true"/>
      <w:spacing w:lineRule="auto" w:line="240" w:before="120" w:after="0"/>
      <w:jc w:val="both"/>
    </w:pPr>
    <w:rPr>
      <w:rFonts w:ascii="Ecofont_Spranq_eco_Sans" w:hAnsi="Ecofont_Spranq_eco_Sans" w:eastAsia="Calibri" w:cs="Tahoma"/>
      <w:i/>
      <w:iCs/>
      <w:color w:val="000000"/>
      <w:sz w:val="20"/>
      <w:szCs w:val="24"/>
      <w:lang w:eastAsia="zh-CN"/>
    </w:rPr>
  </w:style>
  <w:style w:type="paragraph" w:styleId="Corpo" w:customStyle="1">
    <w:name w:val="corpo"/>
    <w:basedOn w:val="Normal"/>
    <w:qFormat/>
    <w:rsid w:val="00bb36bb"/>
    <w:pPr>
      <w:spacing w:lineRule="auto" w:line="240" w:beforeAutospacing="1" w:afterAutospacing="1"/>
    </w:pPr>
    <w:rPr>
      <w:rFonts w:ascii="Times New Roman" w:hAnsi="Times New Roman" w:eastAsia="Times New Roman" w:cs="Times New Roman"/>
      <w:sz w:val="24"/>
      <w:szCs w:val="24"/>
      <w:lang w:eastAsia="pt-BR"/>
    </w:rPr>
  </w:style>
  <w:style w:type="paragraph" w:styleId="Annotationtext">
    <w:name w:val="annotation text"/>
    <w:basedOn w:val="Normal"/>
    <w:link w:val="TextodecomentrioChar"/>
    <w:uiPriority w:val="99"/>
    <w:unhideWhenUsed/>
    <w:qFormat/>
    <w:rsid w:val="00843661"/>
    <w:pPr>
      <w:spacing w:lineRule="auto" w:line="240"/>
    </w:pPr>
    <w:rPr>
      <w:sz w:val="20"/>
      <w:szCs w:val="20"/>
    </w:rPr>
  </w:style>
  <w:style w:type="paragraph" w:styleId="Annotationsubject">
    <w:name w:val="annotation subject"/>
    <w:basedOn w:val="Annotationtext"/>
    <w:next w:val="Annotationtext"/>
    <w:link w:val="AssuntodocomentrioChar"/>
    <w:uiPriority w:val="99"/>
    <w:semiHidden/>
    <w:unhideWhenUsed/>
    <w:qFormat/>
    <w:rsid w:val="00843661"/>
    <w:pPr/>
    <w:rPr>
      <w:b/>
      <w:bCs/>
    </w:rPr>
  </w:style>
  <w:style w:type="paragraph" w:styleId="Itemnivel2" w:customStyle="1">
    <w:name w:val="item_nivel2"/>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nivel1" w:customStyle="1">
    <w:name w:val="item_nivel1"/>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alinealetra" w:customStyle="1">
    <w:name w:val="item_alinea_letra"/>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Citao1" w:customStyle="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Ecofont_Spranq_eco_Sans" w:hAnsi="Ecofont_Spranq_eco_Sans" w:cs="Ecofont_Spranq_eco_Sans"/>
      <w:i/>
      <w:iCs/>
      <w:color w:val="000000"/>
      <w:sz w:val="24"/>
      <w:szCs w:val="24"/>
    </w:rPr>
  </w:style>
  <w:style w:type="paragraph" w:styleId="BalloonText">
    <w:name w:val="Balloon Text"/>
    <w:basedOn w:val="Normal"/>
    <w:link w:val="TextodebaloChar"/>
    <w:uiPriority w:val="99"/>
    <w:semiHidden/>
    <w:unhideWhenUsed/>
    <w:qFormat/>
    <w:rsid w:val="00e81162"/>
    <w:pPr>
      <w:spacing w:lineRule="auto" w:line="240" w:before="0" w:after="0"/>
    </w:pPr>
    <w:rPr>
      <w:rFonts w:ascii="Segoe UI" w:hAnsi="Segoe UI" w:cs="Segoe UI"/>
      <w:sz w:val="18"/>
      <w:szCs w:val="18"/>
    </w:rPr>
  </w:style>
  <w:style w:type="paragraph" w:styleId="Standard" w:customStyle="1">
    <w:name w:val="Standard"/>
    <w:qFormat/>
    <w:rsid w:val="00ff4094"/>
    <w:pPr>
      <w:widowControl/>
      <w:suppressAutoHyphens w:val="true"/>
      <w:bidi w:val="0"/>
      <w:spacing w:lineRule="auto" w:line="240" w:before="0" w:after="0"/>
      <w:jc w:val="left"/>
    </w:pPr>
    <w:rPr>
      <w:rFonts w:ascii="Liberation Serif" w:hAnsi="Liberation Serif" w:eastAsia="NSimSun" w:cs="Lucida Sans"/>
      <w:color w:val="auto"/>
      <w:kern w:val="2"/>
      <w:sz w:val="24"/>
      <w:szCs w:val="24"/>
      <w:lang w:val="pt-BR" w:eastAsia="zh-CN" w:bidi="hi-IN"/>
    </w:rPr>
  </w:style>
  <w:style w:type="paragraph" w:styleId="Textbody" w:customStyle="1">
    <w:name w:val="Text body"/>
    <w:basedOn w:val="Standard"/>
    <w:qFormat/>
    <w:rsid w:val="00ff4094"/>
    <w:pPr>
      <w:spacing w:lineRule="auto" w:line="276" w:before="0" w:after="140"/>
    </w:pPr>
    <w:rPr/>
  </w:style>
  <w:style w:type="paragraph" w:styleId="Citao2" w:customStyle="1">
    <w:name w:val="citação 2"/>
    <w:basedOn w:val="Quote"/>
    <w:link w:val="citao2Char"/>
    <w:qFormat/>
    <w:rsid w:val="00ff4094"/>
    <w:pPr>
      <w:shd w:val="clear" w:fill="FFFFCC"/>
      <w:suppressAutoHyphens w:val="true"/>
    </w:pPr>
    <w:rPr>
      <w:kern w:val="2"/>
      <w:szCs w:val="20"/>
      <w:lang w:eastAsia="zh-CN" w:bidi="hi-IN"/>
    </w:rPr>
  </w:style>
  <w:style w:type="paragraph" w:styleId="Nivel2" w:customStyle="1">
    <w:name w:val="Nivel 2"/>
    <w:basedOn w:val="Normal"/>
    <w:link w:val="Nivel2Char"/>
    <w:qFormat/>
    <w:rsid w:val="00ff4094"/>
    <w:pPr>
      <w:spacing w:lineRule="auto" w:line="276" w:before="120" w:after="120"/>
      <w:jc w:val="both"/>
    </w:pPr>
    <w:rPr>
      <w:rFonts w:ascii="Arial" w:hAnsi="Arial" w:cs="Arial"/>
      <w:color w:val="000000"/>
    </w:rPr>
  </w:style>
  <w:style w:type="paragraph" w:styleId="Nivel3" w:customStyle="1">
    <w:name w:val="Nivel 3"/>
    <w:basedOn w:val="ListParagraph"/>
    <w:qFormat/>
    <w:rsid w:val="00ff4094"/>
    <w:pPr>
      <w:tabs>
        <w:tab w:val="clear" w:pos="708"/>
        <w:tab w:val="left" w:pos="360" w:leader="none"/>
      </w:tabs>
      <w:spacing w:lineRule="auto" w:line="276" w:before="120" w:after="120"/>
      <w:ind w:left="425" w:hanging="0"/>
      <w:contextualSpacing/>
      <w:jc w:val="both"/>
    </w:pPr>
    <w:rPr>
      <w:rFonts w:ascii="Arial" w:hAnsi="Arial" w:eastAsia="Times New Roman" w:cs="Arial"/>
      <w:sz w:val="20"/>
      <w:szCs w:val="20"/>
      <w:lang w:eastAsia="pt-BR"/>
    </w:rPr>
  </w:style>
  <w:style w:type="paragraph" w:styleId="Nivel4" w:customStyle="1">
    <w:name w:val="Nivel 4"/>
    <w:basedOn w:val="Nivel3"/>
    <w:qFormat/>
    <w:rsid w:val="00ff4094"/>
    <w:pPr>
      <w:ind w:left="2491" w:hanging="648"/>
    </w:pPr>
    <w:rPr/>
  </w:style>
  <w:style w:type="paragraph" w:styleId="Nivel5" w:customStyle="1">
    <w:name w:val="Nivel 5"/>
    <w:basedOn w:val="Nivel4"/>
    <w:qFormat/>
    <w:rsid w:val="00ff4094"/>
    <w:pPr>
      <w:ind w:left="3485" w:hanging="792"/>
    </w:pPr>
    <w:rPr/>
  </w:style>
  <w:style w:type="paragraph" w:styleId="PADRO" w:customStyle="1">
    <w:name w:val="PADRÃO"/>
    <w:qFormat/>
    <w:rsid w:val="00ed4d94"/>
    <w:pPr>
      <w:keepNext w:val="true"/>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auto"/>
      <w:kern w:val="0"/>
      <w:sz w:val="20"/>
      <w:szCs w:val="24"/>
      <w:lang w:val="pt-BR" w:eastAsia="zh-CN" w:bidi="hi-IN"/>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73140b"/>
    <w:pPr>
      <w:tabs>
        <w:tab w:val="clear" w:pos="708"/>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73140b"/>
    <w:pPr>
      <w:tabs>
        <w:tab w:val="clear" w:pos="708"/>
        <w:tab w:val="center" w:pos="4252" w:leader="none"/>
        <w:tab w:val="right" w:pos="8504" w:leader="none"/>
      </w:tabs>
      <w:spacing w:lineRule="auto" w:line="240" w:before="0" w:after="0"/>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b5309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3.xml><?xml version="1.0" encoding="utf-8"?>
<ds:datastoreItem xmlns:ds="http://schemas.openxmlformats.org/officeDocument/2006/customXml" ds:itemID="{A637446F-06E5-46E0-84F0-A1DE8612EA00}">
  <ds:schemaRefs>
    <ds:schemaRef ds:uri="http://schemas.openxmlformats.org/officeDocument/2006/bibliography"/>
  </ds:schemaRefs>
</ds:datastoreItem>
</file>

<file path=customXml/itemProps4.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TotalTime>
  <Application>LibreOffice/7.2.2.2$Windows_X86_64 LibreOffice_project/02b2acce88a210515b4a5bb2e46cbfb63fe97d56</Application>
  <AppVersion>15.0000</AppVersion>
  <Pages>6</Pages>
  <Words>2477</Words>
  <Characters>13863</Characters>
  <CharactersWithSpaces>16206</CharactersWithSpaces>
  <Paragraphs>106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2022-07-02T17:53:00Z</dcterms:created>
  <dc:creator>Marcela Ali Tarif</dc:creator>
  <dc:description/>
  <dc:language>pt-BR</dc:language>
  <cp:lastModifiedBy/>
  <dcterms:modified xsi:type="dcterms:W3CDTF">2023-07-10T14:20:02Z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